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lang w:eastAsia="zh-CN"/>
        </w:rPr>
        <w:t>2021年</w:t>
      </w:r>
      <w:r>
        <w:rPr>
          <w:rFonts w:hint="eastAsia" w:ascii="黑体" w:hAnsi="黑体" w:eastAsia="黑体" w:cs="黑体"/>
          <w:sz w:val="52"/>
          <w:szCs w:val="52"/>
        </w:rPr>
        <w:t>度</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三门峡市城乡规划监察支队</w:t>
      </w:r>
    </w:p>
    <w:p>
      <w:pPr>
        <w:jc w:val="center"/>
        <w:rPr>
          <w:rFonts w:hint="eastAsia" w:ascii="黑体" w:hAnsi="黑体" w:eastAsia="黑体" w:cs="黑体"/>
          <w:sz w:val="52"/>
          <w:szCs w:val="52"/>
        </w:rPr>
      </w:pPr>
      <w:r>
        <w:rPr>
          <w:rFonts w:hint="eastAsia" w:ascii="黑体" w:hAnsi="黑体" w:eastAsia="黑体" w:cs="黑体"/>
          <w:sz w:val="52"/>
          <w:szCs w:val="52"/>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eastAsia="zh-CN"/>
        </w:rPr>
        <w:t>二</w:t>
      </w:r>
      <w:r>
        <w:rPr>
          <w:rFonts w:hint="eastAsia" w:ascii="黑体" w:hAnsi="黑体" w:eastAsia="黑体" w:cs="黑体"/>
          <w:sz w:val="32"/>
          <w:szCs w:val="32"/>
        </w:rPr>
        <w:t>年</w:t>
      </w:r>
      <w:r>
        <w:rPr>
          <w:rFonts w:hint="eastAsia" w:ascii="黑体" w:hAnsi="黑体" w:eastAsia="黑体" w:cs="黑体"/>
          <w:sz w:val="32"/>
          <w:szCs w:val="32"/>
          <w:highlight w:val="yellow"/>
        </w:rPr>
        <w:t>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三门峡市城乡规划监察支队</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2021年</w:t>
      </w:r>
      <w:r>
        <w:rPr>
          <w:rFonts w:hint="eastAsia" w:ascii="黑体" w:hAnsi="黑体" w:eastAsia="黑体" w:cs="黑体"/>
          <w:sz w:val="32"/>
          <w:szCs w:val="32"/>
        </w:rPr>
        <w:t>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2021年</w:t>
      </w:r>
      <w:r>
        <w:rPr>
          <w:rFonts w:hint="eastAsia" w:ascii="黑体" w:hAnsi="黑体" w:eastAsia="黑体" w:cs="黑体"/>
          <w:sz w:val="32"/>
          <w:szCs w:val="32"/>
        </w:rPr>
        <w:t>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eastAsia="zh-CN"/>
        </w:rPr>
        <w:t>三门峡市城乡规划监察支队</w:t>
      </w:r>
      <w:r>
        <w:rPr>
          <w:rFonts w:hint="eastAsia" w:ascii="黑体" w:hAnsi="黑体" w:eastAsia="黑体" w:cs="黑体"/>
          <w:sz w:val="48"/>
          <w:szCs w:val="48"/>
        </w:rPr>
        <w:t>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门峡市城乡规划监察支队成立于2015年9月，是隶属三门峡市自然资源规划局的事业全供执法单位，以市城乡规划监察支队的名义开展执法活动，具体负责分管区域内规划违法处罚的具体执法工作；负责组织本支队人员按照全局的统一部署参加重大执法活动和各种集中整治活动。</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具体行使以下职权：</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1、负责查处未取得建设工程规划许可证或未按照建设工程规划许可证的规定进行建设的违法行为。</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2、负责查处未经批准进行临时建设或未按照批准内容进行临时建设以及临时建筑物、构筑物超过批准期限不拆除的违法建设行为。</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3、承担市政府授权对违法建设工程采取查封施工现场、暂扣施工设备及强制拆除等具体措施的组织工作。</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4、负责查处建设单位未在建设工程竣工验收后6个月内报送竣工验收资料的违法行为。</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5、积极参与建设项目放、验线和用地规划条件核实。</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6、完成我局交办的其他工作。</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eastAsia="仿宋_GB2312"/>
          <w:sz w:val="30"/>
          <w:szCs w:val="30"/>
          <w:lang w:val="en-US" w:eastAsia="zh-CN"/>
        </w:rPr>
      </w:pPr>
      <w:r>
        <w:rPr>
          <w:rFonts w:hint="eastAsia" w:ascii="仿宋_GB2312" w:hAnsi="仿宋_GB2312" w:eastAsia="仿宋_GB2312" w:cs="仿宋_GB2312"/>
          <w:kern w:val="0"/>
          <w:sz w:val="32"/>
          <w:szCs w:val="32"/>
          <w:lang w:eastAsia="zh-CN"/>
        </w:rPr>
        <w:t>三门峡市城乡规划监察支队</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个，包括：</w:t>
      </w:r>
      <w:r>
        <w:rPr>
          <w:rFonts w:hint="eastAsia" w:ascii="仿宋_GB2312" w:eastAsia="仿宋_GB2312"/>
          <w:sz w:val="30"/>
          <w:szCs w:val="30"/>
          <w:lang w:val="en-US" w:eastAsia="zh-CN"/>
        </w:rPr>
        <w:t>办公室，督查科，三个执法大队。</w:t>
      </w: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第二部分  </w:t>
      </w:r>
      <w:r>
        <w:rPr>
          <w:rFonts w:hint="eastAsia" w:ascii="黑体" w:hAnsi="黑体" w:eastAsia="黑体" w:cs="黑体"/>
          <w:sz w:val="48"/>
          <w:szCs w:val="48"/>
          <w:lang w:eastAsia="zh-CN"/>
        </w:rPr>
        <w:t>2021年</w:t>
      </w:r>
      <w:r>
        <w:rPr>
          <w:rFonts w:hint="eastAsia" w:ascii="黑体" w:hAnsi="黑体" w:eastAsia="黑体" w:cs="黑体"/>
          <w:sz w:val="48"/>
          <w:szCs w:val="48"/>
        </w:rPr>
        <w:t>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5000" w:type="pct"/>
        <w:tblInd w:w="0" w:type="dxa"/>
        <w:shd w:val="clear" w:color="auto" w:fill="auto"/>
        <w:tblLayout w:type="autofit"/>
        <w:tblCellMar>
          <w:top w:w="0" w:type="dxa"/>
          <w:left w:w="0" w:type="dxa"/>
          <w:bottom w:w="0" w:type="dxa"/>
          <w:right w:w="0" w:type="dxa"/>
        </w:tblCellMar>
      </w:tblPr>
      <w:tblGrid>
        <w:gridCol w:w="4840"/>
        <w:gridCol w:w="685"/>
        <w:gridCol w:w="2532"/>
        <w:gridCol w:w="2367"/>
        <w:gridCol w:w="688"/>
        <w:gridCol w:w="2856"/>
        <w:gridCol w:w="20"/>
      </w:tblGrid>
      <w:tr>
        <w:tblPrEx>
          <w:shd w:val="clear" w:color="auto" w:fill="auto"/>
          <w:tblCellMar>
            <w:top w:w="0" w:type="dxa"/>
            <w:left w:w="0" w:type="dxa"/>
            <w:bottom w:w="0" w:type="dxa"/>
            <w:right w:w="0" w:type="dxa"/>
          </w:tblCellMar>
        </w:tblPrEx>
        <w:trPr>
          <w:gridAfter w:val="1"/>
          <w:wAfter w:w="6" w:type="pct"/>
          <w:trHeight w:val="375" w:hRule="atLeast"/>
        </w:trPr>
        <w:tc>
          <w:tcPr>
            <w:tcW w:w="4993" w:type="pct"/>
            <w:gridSpan w:val="6"/>
            <w:vMerge w:val="restart"/>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收入支出决算总表</w:t>
            </w:r>
          </w:p>
        </w:tc>
      </w:tr>
      <w:tr>
        <w:tblPrEx>
          <w:tblCellMar>
            <w:top w:w="0" w:type="dxa"/>
            <w:left w:w="0" w:type="dxa"/>
            <w:bottom w:w="0" w:type="dxa"/>
            <w:right w:w="0" w:type="dxa"/>
          </w:tblCellMar>
        </w:tblPrEx>
        <w:trPr>
          <w:gridAfter w:val="1"/>
          <w:wAfter w:w="6" w:type="pct"/>
          <w:trHeight w:val="312" w:hRule="atLeast"/>
        </w:trPr>
        <w:tc>
          <w:tcPr>
            <w:tcW w:w="4993" w:type="pct"/>
            <w:gridSpan w:val="6"/>
            <w:vMerge w:val="continue"/>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36"/>
                <w:szCs w:val="36"/>
                <w:u w:val="none"/>
              </w:rPr>
            </w:pPr>
          </w:p>
        </w:tc>
      </w:tr>
      <w:tr>
        <w:tblPrEx>
          <w:tblCellMar>
            <w:top w:w="0" w:type="dxa"/>
            <w:left w:w="0" w:type="dxa"/>
            <w:bottom w:w="0" w:type="dxa"/>
            <w:right w:w="0" w:type="dxa"/>
          </w:tblCellMar>
        </w:tblPrEx>
        <w:trPr>
          <w:gridAfter w:val="1"/>
          <w:wAfter w:w="6" w:type="pct"/>
          <w:trHeight w:val="300" w:hRule="atLeast"/>
        </w:trPr>
        <w:tc>
          <w:tcPr>
            <w:tcW w:w="173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45"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905"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846"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46"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1020" w:type="pct"/>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gridAfter w:val="1"/>
          <w:wAfter w:w="6" w:type="pct"/>
          <w:trHeight w:val="300" w:hRule="atLeast"/>
        </w:trPr>
        <w:tc>
          <w:tcPr>
            <w:tcW w:w="1730" w:type="pct"/>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0"/>
                <w:szCs w:val="20"/>
                <w:u w:val="none"/>
                <w:lang w:val="en-US" w:eastAsia="zh-CN" w:bidi="ar"/>
              </w:rPr>
              <w:t>部门：三门峡市城乡规划监察支队</w:t>
            </w:r>
          </w:p>
        </w:tc>
        <w:tc>
          <w:tcPr>
            <w:tcW w:w="245" w:type="pct"/>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905" w:type="pct"/>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6" w:type="pct"/>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46" w:type="pct"/>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1020" w:type="pct"/>
            <w:tcBorders>
              <w:top w:val="nil"/>
              <w:left w:val="nil"/>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6"/>
              <w:gridCol w:w="616"/>
              <w:gridCol w:w="816"/>
              <w:gridCol w:w="3216"/>
              <w:gridCol w:w="616"/>
              <w:gridCol w:w="816"/>
              <w:gridCol w:w="2816"/>
              <w:gridCol w:w="616"/>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项目(按功能分类)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项目(按支出性质和经济分类)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人员经费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公用经费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二、项目支出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其中：基本建设类项目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三、上缴上级支出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四、经营支出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五、对附属单位补助支出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五、资本性支出（基本建设）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七、对企业补助（基本建设）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八、对企业补助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九、对社会保障基金补助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501.06</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510.31</w:t>
                  </w:r>
                </w:p>
              </w:tc>
              <w:tc>
                <w:tcPr>
                  <w:tcW w:w="0" w:type="auto"/>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510.31</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5000" w:type="pct"/>
        <w:tblInd w:w="0" w:type="dxa"/>
        <w:tblLayout w:type="autofit"/>
        <w:tblCellMar>
          <w:top w:w="0" w:type="dxa"/>
          <w:left w:w="0" w:type="dxa"/>
          <w:bottom w:w="0" w:type="dxa"/>
          <w:right w:w="0" w:type="dxa"/>
        </w:tblCellMar>
      </w:tblPr>
      <w:tblGrid>
        <w:gridCol w:w="1035"/>
        <w:gridCol w:w="59"/>
        <w:gridCol w:w="1284"/>
        <w:gridCol w:w="1569"/>
        <w:gridCol w:w="87"/>
        <w:gridCol w:w="1480"/>
        <w:gridCol w:w="176"/>
        <w:gridCol w:w="1390"/>
        <w:gridCol w:w="266"/>
        <w:gridCol w:w="1301"/>
        <w:gridCol w:w="355"/>
        <w:gridCol w:w="1211"/>
        <w:gridCol w:w="445"/>
        <w:gridCol w:w="1122"/>
        <w:gridCol w:w="534"/>
        <w:gridCol w:w="1674"/>
      </w:tblGrid>
      <w:tr>
        <w:tblPrEx>
          <w:tblCellMar>
            <w:top w:w="0" w:type="dxa"/>
            <w:left w:w="0" w:type="dxa"/>
            <w:bottom w:w="0" w:type="dxa"/>
            <w:right w:w="0" w:type="dxa"/>
          </w:tblCellMar>
        </w:tblPrEx>
        <w:trPr>
          <w:trHeight w:val="435" w:hRule="atLeast"/>
        </w:trPr>
        <w:tc>
          <w:tcPr>
            <w:tcW w:w="5000" w:type="pct"/>
            <w:gridSpan w:val="16"/>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370" w:type="pct"/>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1" w:type="pct"/>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458" w:type="pct"/>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60" w:type="pct"/>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60" w:type="pct"/>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60" w:type="pct"/>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60" w:type="pct"/>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60" w:type="pct"/>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60" w:type="pct"/>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84" w:type="pct"/>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1411" w:type="pct"/>
            <w:gridSpan w:val="4"/>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三门峡市城乡规划监察支队</w:t>
            </w:r>
          </w:p>
        </w:tc>
        <w:tc>
          <w:tcPr>
            <w:tcW w:w="560" w:type="pct"/>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60" w:type="pct"/>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60" w:type="pct"/>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60" w:type="pct"/>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60" w:type="pct"/>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84" w:type="pct"/>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850" w:type="pct"/>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592"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592" w:type="pct"/>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592"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592"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592"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592"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595" w:type="pct"/>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391" w:type="pct"/>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592"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92"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92"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92"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92"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92"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95" w:type="pct"/>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91" w:type="pct"/>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92"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92"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92"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92"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92"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92"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95" w:type="pct"/>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850" w:type="pct"/>
            <w:gridSpan w:val="3"/>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59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850" w:type="pct"/>
            <w:gridSpan w:val="3"/>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501.06</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499.79</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1.27</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208</w:t>
            </w:r>
          </w:p>
        </w:tc>
        <w:tc>
          <w:tcPr>
            <w:tcW w:w="45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社会保障和就业支出</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31.60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31.60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20805</w:t>
            </w:r>
          </w:p>
        </w:tc>
        <w:tc>
          <w:tcPr>
            <w:tcW w:w="45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行政事业单位养老支出</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31.59</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31.59</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2080505</w:t>
            </w:r>
          </w:p>
        </w:tc>
        <w:tc>
          <w:tcPr>
            <w:tcW w:w="45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  机关事业单位基本养老保险缴费支出</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31.59</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31.59</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20808</w:t>
            </w:r>
          </w:p>
        </w:tc>
        <w:tc>
          <w:tcPr>
            <w:tcW w:w="45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抚恤</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0.01</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0.01</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2080801</w:t>
            </w:r>
          </w:p>
        </w:tc>
        <w:tc>
          <w:tcPr>
            <w:tcW w:w="45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  死亡抚恤</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0.01</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0.01</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210</w:t>
            </w:r>
          </w:p>
        </w:tc>
        <w:tc>
          <w:tcPr>
            <w:tcW w:w="458"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卫生健康支出</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24.59</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24.59</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21011</w:t>
            </w:r>
          </w:p>
        </w:tc>
        <w:tc>
          <w:tcPr>
            <w:tcW w:w="458"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行政事业单位医疗</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24.59</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24.59</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2101101</w:t>
            </w:r>
          </w:p>
        </w:tc>
        <w:tc>
          <w:tcPr>
            <w:tcW w:w="458"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  行政单位医疗</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24.59</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24.59</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212</w:t>
            </w:r>
          </w:p>
        </w:tc>
        <w:tc>
          <w:tcPr>
            <w:tcW w:w="458"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城乡社区支出</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411.16</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409.89</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1.27</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21202</w:t>
            </w:r>
          </w:p>
        </w:tc>
        <w:tc>
          <w:tcPr>
            <w:tcW w:w="458"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城乡社区规划与管理</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411.16</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409.89</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1.27</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2120201</w:t>
            </w:r>
          </w:p>
        </w:tc>
        <w:tc>
          <w:tcPr>
            <w:tcW w:w="458"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  城乡社区规划与管理</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411.16</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409.89</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1.27</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220</w:t>
            </w:r>
          </w:p>
        </w:tc>
        <w:tc>
          <w:tcPr>
            <w:tcW w:w="458"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自然资源海洋气象等支出</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22001</w:t>
            </w:r>
          </w:p>
        </w:tc>
        <w:tc>
          <w:tcPr>
            <w:tcW w:w="458"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自然资源事务</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2200102</w:t>
            </w:r>
          </w:p>
        </w:tc>
        <w:tc>
          <w:tcPr>
            <w:tcW w:w="458"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  一般行政管理事务</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221</w:t>
            </w:r>
          </w:p>
        </w:tc>
        <w:tc>
          <w:tcPr>
            <w:tcW w:w="458"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住房保障支出</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23.71</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23.71</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22102</w:t>
            </w:r>
          </w:p>
        </w:tc>
        <w:tc>
          <w:tcPr>
            <w:tcW w:w="458"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住房改革支出</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23.71</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23.71</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391" w:type="pct"/>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2210201</w:t>
            </w:r>
          </w:p>
        </w:tc>
        <w:tc>
          <w:tcPr>
            <w:tcW w:w="458"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  住房公积金</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23.71</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23.71</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2" w:type="pct"/>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95" w:type="pct"/>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615" w:hRule="atLeast"/>
        </w:trPr>
        <w:tc>
          <w:tcPr>
            <w:tcW w:w="5000" w:type="pct"/>
            <w:gridSpan w:val="16"/>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1120"/>
        <w:gridCol w:w="63"/>
        <w:gridCol w:w="27"/>
        <w:gridCol w:w="1349"/>
        <w:gridCol w:w="1774"/>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7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6135" w:type="dxa"/>
            <w:gridSpan w:val="7"/>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三门峡市城乡规划监察支队</w:t>
            </w: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559"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559" w:type="dxa"/>
            <w:gridSpan w:val="4"/>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559" w:type="dxa"/>
            <w:gridSpan w:val="4"/>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501.24</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491.06</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10.18</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208</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社会保障和就业支出</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31.60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31.60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20805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行政事业单位养老支出</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31.59</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31.59</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2080505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  机关事业单位基本养老保险缴费支出</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31.59</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31.59</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20808</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抚恤</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0.01</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0.01</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2080801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  死亡抚恤</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0.01</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0.01</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210</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卫生健康支出</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24.59</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24.59</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21011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行政事业单位医疗</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24.59</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24.59</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2101101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  行政单位医疗</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24.59</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24.59</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212</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城乡社区支出</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411.16</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411.16</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21202</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城乡社区规划与管理</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411.16</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411.16</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2120201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  城乡社区规划与管理</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411.16</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411.16</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220</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自然资源海洋气象等支出</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10.18</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10.18</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22001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自然资源事务</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10.18</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10.18</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2200102</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  一般行政管理事务</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10.18</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10.18</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221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住房保障支出</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23.71</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23.71</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22102</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住房改革支出</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23.71</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23.71</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2210201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  住房公积金</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23.71</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23.71</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3994"/>
        <w:gridCol w:w="720"/>
        <w:gridCol w:w="1210"/>
        <w:gridCol w:w="3400"/>
        <w:gridCol w:w="597"/>
        <w:gridCol w:w="708"/>
        <w:gridCol w:w="1343"/>
        <w:gridCol w:w="2016"/>
      </w:tblGrid>
      <w:tr>
        <w:tblPrEx>
          <w:tblCellMar>
            <w:top w:w="0" w:type="dxa"/>
            <w:left w:w="0" w:type="dxa"/>
            <w:bottom w:w="0" w:type="dxa"/>
            <w:right w:w="0" w:type="dxa"/>
          </w:tblCellMar>
        </w:tblPrEx>
        <w:trPr>
          <w:trHeight w:val="360" w:hRule="atLeast"/>
        </w:trPr>
        <w:tc>
          <w:tcPr>
            <w:tcW w:w="13988" w:type="dxa"/>
            <w:gridSpan w:val="8"/>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9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0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43"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016"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三门峡市城乡规划监察支队</w:t>
            </w:r>
          </w:p>
        </w:tc>
        <w:tc>
          <w:tcPr>
            <w:tcW w:w="7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9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0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43"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016"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85" w:hRule="atLeast"/>
        </w:trPr>
        <w:tc>
          <w:tcPr>
            <w:tcW w:w="13988" w:type="dxa"/>
            <w:gridSpan w:val="8"/>
            <w:tcBorders>
              <w:top w:val="single" w:color="000000" w:sz="8" w:space="0"/>
              <w:left w:val="nil"/>
              <w:bottom w:val="nil"/>
              <w:right w:val="nil"/>
            </w:tcBorders>
            <w:tcMar>
              <w:top w:w="15" w:type="dxa"/>
              <w:left w:w="15" w:type="dxa"/>
              <w:right w:w="15" w:type="dxa"/>
            </w:tcMar>
            <w:vAlign w:val="center"/>
          </w:tcPr>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77"/>
              <w:gridCol w:w="536"/>
              <w:gridCol w:w="1583"/>
              <w:gridCol w:w="4062"/>
              <w:gridCol w:w="597"/>
              <w:gridCol w:w="988"/>
              <w:gridCol w:w="1513"/>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收     入</w:t>
                  </w:r>
                </w:p>
              </w:tc>
              <w:tc>
                <w:tcPr>
                  <w:tcW w:w="3066" w:type="pct"/>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174"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项    目</w:t>
                  </w:r>
                </w:p>
              </w:tc>
              <w:tc>
                <w:tcPr>
                  <w:tcW w:w="19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行次</w:t>
                  </w:r>
                </w:p>
              </w:tc>
              <w:tc>
                <w:tcPr>
                  <w:tcW w:w="56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金额</w:t>
                  </w:r>
                </w:p>
              </w:tc>
              <w:tc>
                <w:tcPr>
                  <w:tcW w:w="145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项目（按功能分类）</w:t>
                  </w:r>
                </w:p>
              </w:tc>
              <w:tc>
                <w:tcPr>
                  <w:tcW w:w="214" w:type="pct"/>
                  <w:vMerge w:val="restart"/>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行次</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合计</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一般公共预算财政拨款</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7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92"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566"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214" w:type="pct"/>
                  <w:vMerge w:val="continue"/>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栏    次</w:t>
                  </w: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w:t>
                  </w: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栏    次</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一、一般公共预算财政拨款</w:t>
                  </w: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499.79</w:t>
                  </w: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一、一般公共服务支出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33</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二、政府性基金预算财政拨款</w:t>
                  </w: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二、外交支出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34</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三、国有资本经营预算财政拨款</w:t>
                  </w: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三、国防支出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35</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四、公共安全支出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36</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五、教育支出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37</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6</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六、科学技术支出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38</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7</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七、文化旅游体育与传媒支出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39</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8</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八、社会保障和就业支出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40</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31.60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31.60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9</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九、卫生健康支出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41</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24.59</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24.59</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10</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十、节能环保支出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42</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11</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十一、城乡社区支出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43</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409.89</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409.89</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12</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十二、农林水支出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44</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13</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十三、交通运输支出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45</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14</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十四、资源勘探工业信息等支出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46</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15</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十五、商业服务业等支出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47</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16</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十六、金融支出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48</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17</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十七、援助其他地区支出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49</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18</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十八、自然资源海洋气象等支出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50</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19.24</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19.24</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19</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十九、住房保障支出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51</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23.71</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23.71</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20</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二十、粮油物资储备支出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52</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21</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二十一、国有资本经营预算支出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53</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22</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二十二、灾害防治及应急管理支出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54</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23</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二十三、其他支出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55</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24</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二十四、债务还本支出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56</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25</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二十五、债务付息支出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57</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26</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二十六、抗疫特别国债安排的支出</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58</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本年收入合计</w:t>
                  </w: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27</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499.79</w:t>
                  </w: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本年支出合计</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85</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509.03</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509.03</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年初财政拨款结转和结余</w:t>
                  </w: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28</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9.24</w:t>
                  </w: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年末财政拨款结转和结余</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86</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一、一般公共预算财政拨款</w:t>
                  </w: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29</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9.24</w:t>
                  </w: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87</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二、政府性基金预算财政拨款</w:t>
                  </w: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30</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88</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三、国有资本经营预算财政拨款</w:t>
                  </w:r>
                </w:p>
              </w:tc>
              <w:tc>
                <w:tcPr>
                  <w:tcW w:w="1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31</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c>
                <w:tcPr>
                  <w:tcW w:w="1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89</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5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4" w:type="pct"/>
                  <w:tcBorders>
                    <w:top w:val="nil"/>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总计</w:t>
                  </w:r>
                </w:p>
              </w:tc>
              <w:tc>
                <w:tcPr>
                  <w:tcW w:w="192" w:type="pct"/>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32</w:t>
                  </w:r>
                </w:p>
              </w:tc>
              <w:tc>
                <w:tcPr>
                  <w:tcW w:w="566" w:type="pct"/>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509.03</w:t>
                  </w:r>
                </w:p>
              </w:tc>
              <w:tc>
                <w:tcPr>
                  <w:tcW w:w="1455" w:type="pct"/>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总计</w:t>
                  </w:r>
                </w:p>
              </w:tc>
              <w:tc>
                <w:tcPr>
                  <w:tcW w:w="214" w:type="pct"/>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90</w:t>
                  </w:r>
                </w:p>
              </w:tc>
              <w:tc>
                <w:tcPr>
                  <w:tcW w:w="354" w:type="pct"/>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509.03</w:t>
                  </w:r>
                </w:p>
              </w:tc>
              <w:tc>
                <w:tcPr>
                  <w:tcW w:w="542" w:type="pct"/>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509.03</w:t>
                  </w:r>
                </w:p>
              </w:tc>
              <w:tc>
                <w:tcPr>
                  <w:tcW w:w="499" w:type="pct"/>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0.00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726"/>
        <w:gridCol w:w="688"/>
        <w:gridCol w:w="2225"/>
        <w:gridCol w:w="3449"/>
        <w:gridCol w:w="3449"/>
        <w:gridCol w:w="3451"/>
      </w:tblGrid>
      <w:tr>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7"/>
                <w:rFonts w:hint="default"/>
                <w:lang w:bidi="ar"/>
              </w:rPr>
              <w:t>5表</w:t>
            </w:r>
          </w:p>
        </w:tc>
      </w:tr>
      <w:tr>
        <w:tblPrEx>
          <w:tblCellMar>
            <w:top w:w="0" w:type="dxa"/>
            <w:left w:w="0" w:type="dxa"/>
            <w:bottom w:w="0" w:type="dxa"/>
            <w:right w:w="0" w:type="dxa"/>
          </w:tblCellMar>
        </w:tblPrEx>
        <w:trPr>
          <w:trHeight w:val="300" w:hRule="atLeast"/>
        </w:trPr>
        <w:tc>
          <w:tcPr>
            <w:tcW w:w="3639"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三门峡市城乡规划监察支队</w:t>
            </w: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8"/>
                <w:rFonts w:hint="default"/>
                <w:sz w:val="20"/>
                <w:szCs w:val="20"/>
                <w:lang w:bidi="ar"/>
              </w:rPr>
              <w:t xml:space="preserve">   </w:t>
            </w:r>
            <w:r>
              <w:rPr>
                <w:rStyle w:val="9"/>
                <w:rFonts w:hint="default"/>
                <w:sz w:val="20"/>
                <w:szCs w:val="20"/>
                <w:lang w:bidi="ar"/>
              </w:rPr>
              <w:t>目</w:t>
            </w:r>
          </w:p>
        </w:tc>
        <w:tc>
          <w:tcPr>
            <w:tcW w:w="10349"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90"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501.24</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491.06</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10.18</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208</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社会保障和就业支出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31.60</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31.60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20805</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行政事业单位养老支出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31.59</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31.59</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2080505</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 xml:space="preserve">  机关事业单位基本养老保险缴费支出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31.59</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31.59</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20808</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抚恤</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0.01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0.01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2080801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 xml:space="preserve">  死亡抚恤</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0.01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0.01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210</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卫生健康支出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24.59</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24.59</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21011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行政事业单位医疗</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24.59</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24.59</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2101101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 xml:space="preserve">  行政单位医疗</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24.59</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24.59</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212</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城乡社区支出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411.16</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411.16</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21202</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城乡社区规划与管理</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411.16</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411.16</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2120201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 xml:space="preserve">  城乡社区规划与管理</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411.16</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411.16</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220</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自然资源海洋气象等支出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10.18</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10.18</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22001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自然资源事务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10.18</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10.18</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2200102</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 xml:space="preserve">  一般行政管理事务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10.18</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10.18</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221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住房保障支出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23.71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23.71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50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22102</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住房改革支出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23.71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23.71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2210201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 xml:space="preserve">  住房公积金</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23.71</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23.71</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4013" w:type="dxa"/>
        <w:tblInd w:w="93" w:type="dxa"/>
        <w:shd w:val="clear" w:color="auto" w:fill="auto"/>
        <w:tblLayout w:type="fixed"/>
        <w:tblCellMar>
          <w:top w:w="0" w:type="dxa"/>
          <w:left w:w="108" w:type="dxa"/>
          <w:bottom w:w="0" w:type="dxa"/>
          <w:right w:w="108" w:type="dxa"/>
        </w:tblCellMar>
      </w:tblPr>
      <w:tblGrid>
        <w:gridCol w:w="860"/>
        <w:gridCol w:w="3030"/>
        <w:gridCol w:w="955"/>
        <w:gridCol w:w="718"/>
        <w:gridCol w:w="2030"/>
        <w:gridCol w:w="716"/>
        <w:gridCol w:w="122"/>
        <w:gridCol w:w="718"/>
        <w:gridCol w:w="3830"/>
        <w:gridCol w:w="1034"/>
      </w:tblGrid>
      <w:tr>
        <w:tblPrEx>
          <w:shd w:val="clear" w:color="auto" w:fill="auto"/>
          <w:tblCellMar>
            <w:top w:w="0" w:type="dxa"/>
            <w:left w:w="108" w:type="dxa"/>
            <w:bottom w:w="0" w:type="dxa"/>
            <w:right w:w="108" w:type="dxa"/>
          </w:tblCellMar>
        </w:tblPrEx>
        <w:trPr>
          <w:trHeight w:val="450" w:hRule="atLeast"/>
        </w:trPr>
        <w:tc>
          <w:tcPr>
            <w:tcW w:w="86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2"/>
                <w:szCs w:val="22"/>
                <w:lang w:val="en-US"/>
              </w:rPr>
            </w:pPr>
            <w:r>
              <w:rPr>
                <w:rFonts w:hint="eastAsia" w:ascii="宋体" w:hAnsi="宋体" w:eastAsia="宋体" w:cs="Arial"/>
                <w:kern w:val="0"/>
                <w:sz w:val="22"/>
                <w:szCs w:val="22"/>
                <w:lang w:val="en-US" w:eastAsia="zh-CN" w:bidi="ar"/>
              </w:rPr>
              <w:t>　</w:t>
            </w:r>
          </w:p>
        </w:tc>
        <w:tc>
          <w:tcPr>
            <w:tcW w:w="13153" w:type="dxa"/>
            <w:gridSpan w:val="9"/>
            <w:shd w:val="clear" w:color="auto" w:fill="FFFFFF"/>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Arial"/>
                <w:color w:val="000000"/>
                <w:kern w:val="0"/>
                <w:sz w:val="32"/>
                <w:szCs w:val="32"/>
                <w:lang w:val="en-US"/>
              </w:rPr>
            </w:pPr>
            <w:r>
              <w:rPr>
                <w:rFonts w:hint="eastAsia" w:ascii="黑体" w:hAnsi="宋体" w:eastAsia="黑体" w:cs="Arial"/>
                <w:color w:val="000000"/>
                <w:kern w:val="0"/>
                <w:sz w:val="32"/>
                <w:szCs w:val="32"/>
                <w:lang w:val="en-US" w:eastAsia="zh-CN" w:bidi="ar"/>
              </w:rPr>
              <w:t>一般公共预算财政拨款基本支出决算表</w:t>
            </w:r>
          </w:p>
        </w:tc>
      </w:tr>
      <w:tr>
        <w:tblPrEx>
          <w:shd w:val="clear" w:color="auto" w:fill="auto"/>
          <w:tblCellMar>
            <w:top w:w="0" w:type="dxa"/>
            <w:left w:w="108" w:type="dxa"/>
            <w:bottom w:w="0" w:type="dxa"/>
            <w:right w:w="108" w:type="dxa"/>
          </w:tblCellMar>
        </w:tblPrEx>
        <w:trPr>
          <w:trHeight w:val="300" w:hRule="atLeast"/>
        </w:trPr>
        <w:tc>
          <w:tcPr>
            <w:tcW w:w="86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0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95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8"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20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6"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840" w:type="dxa"/>
            <w:gridSpan w:val="2"/>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8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1034" w:type="dxa"/>
            <w:shd w:val="clear" w:color="auto" w:fill="FFFFFF"/>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18"/>
                <w:szCs w:val="18"/>
                <w:lang w:val="en-US"/>
              </w:rPr>
            </w:pPr>
            <w:r>
              <w:rPr>
                <w:rFonts w:hint="eastAsia" w:ascii="宋体" w:hAnsi="宋体" w:eastAsia="宋体" w:cs="Arial"/>
                <w:color w:val="000000"/>
                <w:kern w:val="0"/>
                <w:sz w:val="18"/>
                <w:szCs w:val="18"/>
                <w:lang w:val="en-US" w:eastAsia="zh-CN" w:bidi="ar"/>
              </w:rPr>
              <w:t>公开06表</w:t>
            </w:r>
          </w:p>
        </w:tc>
      </w:tr>
      <w:tr>
        <w:tblPrEx>
          <w:shd w:val="clear" w:color="auto" w:fill="auto"/>
          <w:tblCellMar>
            <w:top w:w="0" w:type="dxa"/>
            <w:left w:w="108" w:type="dxa"/>
            <w:bottom w:w="0" w:type="dxa"/>
            <w:right w:w="108" w:type="dxa"/>
          </w:tblCellMar>
        </w:tblPrEx>
        <w:trPr>
          <w:trHeight w:val="270" w:hRule="atLeast"/>
        </w:trPr>
        <w:tc>
          <w:tcPr>
            <w:tcW w:w="86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部门：</w:t>
            </w:r>
          </w:p>
        </w:tc>
        <w:tc>
          <w:tcPr>
            <w:tcW w:w="30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955"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8"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20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　</w:t>
            </w:r>
          </w:p>
        </w:tc>
        <w:tc>
          <w:tcPr>
            <w:tcW w:w="716"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840" w:type="dxa"/>
            <w:gridSpan w:val="2"/>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8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1034"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18"/>
                <w:szCs w:val="18"/>
                <w:lang w:val="en-US"/>
              </w:rPr>
            </w:pPr>
            <w:r>
              <w:rPr>
                <w:rFonts w:hint="eastAsia" w:ascii="宋体" w:hAnsi="宋体" w:eastAsia="宋体" w:cs="Arial"/>
                <w:color w:val="000000"/>
                <w:kern w:val="0"/>
                <w:sz w:val="18"/>
                <w:szCs w:val="18"/>
                <w:lang w:val="en-US" w:eastAsia="zh-CN" w:bidi="ar"/>
              </w:rPr>
              <w:t>单位：万元</w:t>
            </w:r>
          </w:p>
        </w:tc>
      </w:tr>
      <w:tr>
        <w:tblPrEx>
          <w:shd w:val="clear" w:color="auto" w:fill="auto"/>
          <w:tblCellMar>
            <w:top w:w="0" w:type="dxa"/>
            <w:left w:w="108" w:type="dxa"/>
            <w:bottom w:w="0" w:type="dxa"/>
            <w:right w:w="108" w:type="dxa"/>
          </w:tblCellMar>
        </w:tblPrEx>
        <w:trPr>
          <w:trHeight w:val="300" w:hRule="atLeast"/>
        </w:trPr>
        <w:tc>
          <w:tcPr>
            <w:tcW w:w="48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人员经费</w:t>
            </w:r>
          </w:p>
        </w:tc>
        <w:tc>
          <w:tcPr>
            <w:tcW w:w="9168"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公用经费</w:t>
            </w:r>
          </w:p>
        </w:tc>
      </w:tr>
      <w:tr>
        <w:tblPrEx>
          <w:shd w:val="clear" w:color="auto" w:fill="auto"/>
          <w:tblCellMar>
            <w:top w:w="0" w:type="dxa"/>
            <w:left w:w="108" w:type="dxa"/>
            <w:bottom w:w="0" w:type="dxa"/>
            <w:right w:w="108" w:type="dxa"/>
          </w:tblCellMar>
        </w:tblPrEx>
        <w:trPr>
          <w:trHeight w:val="312" w:hRule="atLeast"/>
        </w:trPr>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3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95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2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838"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38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10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r>
      <w:tr>
        <w:tblPrEx>
          <w:shd w:val="clear" w:color="auto" w:fill="auto"/>
          <w:tblCellMar>
            <w:top w:w="0" w:type="dxa"/>
            <w:left w:w="108" w:type="dxa"/>
            <w:bottom w:w="0" w:type="dxa"/>
            <w:right w:w="108" w:type="dxa"/>
          </w:tblCellMar>
        </w:tblPrEx>
        <w:trPr>
          <w:trHeight w:val="312" w:hRule="atLeast"/>
        </w:trPr>
        <w:tc>
          <w:tcPr>
            <w:tcW w:w="8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0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5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0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38"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3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工资福利支出</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460.08</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28.04</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债务利息及费用支出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基本工资</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144.67</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办公费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7.17</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30701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国内债务付息</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津贴补贴</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55.83</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印刷费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30702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国外债务付息</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奖金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155.02</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30203</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咨询费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资本性支出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0.83</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30106</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伙食补助费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手续费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房屋建筑物购建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30107</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绩效工资</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22.72</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水费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办公设备购置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0.83</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30108</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机关事业单位基本养老保险缴费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31.59</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电费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31003</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专用设备购置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职业年金缴费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1.95</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邮电费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4.36</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31005</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基础设施建设</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30110</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职工基本医疗保险缴费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14.72</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取暖费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31006</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大型修缮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公务员医疗补助缴费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9.87</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物业管理费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信息网络及软件购置更新</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其他社会保障缴费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差旅费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1.07</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31008</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物资储备</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住房公积金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23.71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因公出国（境）费用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土地补偿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30114</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医疗费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30213</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维修（护）费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31010</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安置补助</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30199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其他工资福利支出</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租赁费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地上附着物和青苗补偿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对个人和家庭的补助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0.84</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会议费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拆迁补偿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离休费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培训费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31013</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公务用车购置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退休费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公务接待费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其他交通工具购置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退职（役）费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专用材料费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31021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文物和陈列品购置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30304</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抚恤金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被装购置费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31022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无形资产购置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30305</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生活补助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0.82</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专用燃料费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其他资本性支出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30306</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救济费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劳务费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3.82</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其他支出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30307</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医疗费补助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委托业务费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39906</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赠与</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30308</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助学金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工会经费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2.59</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国家赔偿费用支出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奖励金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福利费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5.39</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39908</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对民间非营利组织和群众性自治组织补贴</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30310</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个人农业生产补贴</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30231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公务用车运行维护费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1.00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0.00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30399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其他对个人和家庭的补助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30239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其他交通费用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30240</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税金及附加费用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30299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其他商品和服务支出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2.64</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389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人员经费合计</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460.92　</w:t>
            </w:r>
          </w:p>
        </w:tc>
        <w:tc>
          <w:tcPr>
            <w:tcW w:w="8134"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公用经费合计</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28.87　</w:t>
            </w:r>
          </w:p>
        </w:tc>
      </w:tr>
      <w:tr>
        <w:tblPrEx>
          <w:tblCellMar>
            <w:top w:w="0" w:type="dxa"/>
            <w:left w:w="108" w:type="dxa"/>
            <w:bottom w:w="0" w:type="dxa"/>
            <w:right w:w="108" w:type="dxa"/>
          </w:tblCellMar>
        </w:tblPrEx>
        <w:trPr>
          <w:trHeight w:val="300" w:hRule="atLeast"/>
        </w:trPr>
        <w:tc>
          <w:tcPr>
            <w:tcW w:w="14013" w:type="dxa"/>
            <w:gridSpan w:val="10"/>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1149"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1.00</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1.00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1.00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1.00</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10"/>
                <w:rFonts w:hint="default"/>
                <w:sz w:val="20"/>
                <w:szCs w:val="20"/>
                <w:lang w:bidi="ar"/>
              </w:rPr>
              <w:t>预算数为“三公”经费</w:t>
            </w:r>
            <w:r>
              <w:rPr>
                <w:rStyle w:val="10"/>
                <w:rFonts w:hint="eastAsia" w:eastAsia="宋体"/>
                <w:sz w:val="20"/>
                <w:szCs w:val="20"/>
                <w:lang w:eastAsia="zh-CN" w:bidi="ar"/>
              </w:rPr>
              <w:t>调整</w:t>
            </w:r>
            <w:r>
              <w:rPr>
                <w:rStyle w:val="10"/>
                <w:rFonts w:hint="default"/>
                <w:sz w:val="20"/>
                <w:szCs w:val="20"/>
                <w:lang w:bidi="ar"/>
              </w:rPr>
              <w:t>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3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jc w:val="cente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none"/>
        </w:rPr>
        <w:t>说明：我部门没有政府性基金收入，也没有使用政府性基金安排的支出，故本表无数据。</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第三部分  </w:t>
      </w:r>
      <w:r>
        <w:rPr>
          <w:rFonts w:hint="eastAsia" w:ascii="黑体" w:hAnsi="黑体" w:eastAsia="黑体" w:cs="黑体"/>
          <w:sz w:val="48"/>
          <w:szCs w:val="48"/>
          <w:lang w:eastAsia="zh-CN"/>
        </w:rPr>
        <w:t>2021年</w:t>
      </w:r>
      <w:r>
        <w:rPr>
          <w:rFonts w:hint="eastAsia" w:ascii="黑体" w:hAnsi="黑体" w:eastAsia="黑体" w:cs="黑体"/>
          <w:sz w:val="48"/>
          <w:szCs w:val="48"/>
        </w:rPr>
        <w:t>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度收、支总计均为</w:t>
      </w:r>
      <w:r>
        <w:rPr>
          <w:rFonts w:hint="eastAsia" w:ascii="仿宋_GB2312" w:hAnsi="仿宋_GB2312" w:eastAsia="仿宋_GB2312" w:cs="仿宋_GB2312"/>
          <w:sz w:val="32"/>
          <w:szCs w:val="32"/>
          <w:lang w:val="en-US" w:eastAsia="zh-CN"/>
        </w:rPr>
        <w:t>501.06</w:t>
      </w:r>
      <w:r>
        <w:rPr>
          <w:rFonts w:hint="eastAsia" w:ascii="仿宋_GB2312" w:hAnsi="仿宋_GB2312" w:eastAsia="仿宋_GB2312" w:cs="仿宋_GB2312"/>
          <w:sz w:val="32"/>
          <w:szCs w:val="32"/>
        </w:rPr>
        <w:t>万元。与上年度相比，收、支总计各减少</w:t>
      </w:r>
      <w:r>
        <w:rPr>
          <w:rFonts w:hint="eastAsia" w:ascii="仿宋_GB2312" w:hAnsi="仿宋_GB2312" w:eastAsia="仿宋_GB2312" w:cs="仿宋_GB2312"/>
          <w:sz w:val="32"/>
          <w:szCs w:val="32"/>
          <w:lang w:val="en-US" w:eastAsia="zh-CN"/>
        </w:rPr>
        <w:t>9.04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1.75</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人员考走</w:t>
      </w:r>
      <w:r>
        <w:rPr>
          <w:rFonts w:hint="eastAsia" w:ascii="仿宋_GB2312" w:hAnsi="仿宋_GB2312" w:eastAsia="仿宋_GB2312" w:cs="仿宋_GB2312"/>
          <w:sz w:val="32"/>
          <w:szCs w:val="32"/>
          <w:lang w:val="en-US" w:eastAsia="zh-CN"/>
        </w:rPr>
        <w:t>1名</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度收入合计</w:t>
      </w:r>
      <w:r>
        <w:rPr>
          <w:rFonts w:hint="eastAsia" w:ascii="仿宋_GB2312" w:hAnsi="仿宋_GB2312" w:eastAsia="仿宋_GB2312" w:cs="仿宋_GB2312"/>
          <w:sz w:val="32"/>
          <w:szCs w:val="32"/>
          <w:lang w:val="en-US" w:eastAsia="zh-CN"/>
        </w:rPr>
        <w:t>501.06</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499.79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99.75</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1.27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0.25</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度支出合计</w:t>
      </w:r>
      <w:r>
        <w:rPr>
          <w:rFonts w:hint="eastAsia" w:ascii="仿宋_GB2312" w:hAnsi="仿宋_GB2312" w:eastAsia="仿宋_GB2312" w:cs="仿宋_GB2312"/>
          <w:sz w:val="32"/>
          <w:szCs w:val="32"/>
          <w:lang w:val="en-US" w:eastAsia="zh-CN"/>
        </w:rPr>
        <w:t>501.24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491.06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97.97</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10.18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度财政拨款收、支总计均为</w:t>
      </w:r>
      <w:r>
        <w:rPr>
          <w:rFonts w:hint="eastAsia" w:ascii="仿宋_GB2312" w:hAnsi="仿宋_GB2312" w:eastAsia="仿宋_GB2312" w:cs="仿宋_GB2312"/>
          <w:sz w:val="32"/>
          <w:szCs w:val="32"/>
          <w:lang w:val="en-US" w:eastAsia="zh-CN"/>
        </w:rPr>
        <w:t>499.79</w:t>
      </w:r>
      <w:r>
        <w:rPr>
          <w:rFonts w:hint="eastAsia" w:ascii="仿宋_GB2312" w:hAnsi="仿宋_GB2312" w:eastAsia="仿宋_GB2312" w:cs="仿宋_GB2312"/>
          <w:sz w:val="32"/>
          <w:szCs w:val="32"/>
        </w:rPr>
        <w:t>万元。与上年度相比，财政拨款收、支总计各减少</w:t>
      </w:r>
      <w:r>
        <w:rPr>
          <w:rFonts w:hint="eastAsia" w:ascii="仿宋_GB2312" w:hAnsi="仿宋_GB2312" w:eastAsia="仿宋_GB2312" w:cs="仿宋_GB2312"/>
          <w:sz w:val="32"/>
          <w:szCs w:val="32"/>
          <w:lang w:val="en-US" w:eastAsia="zh-CN"/>
        </w:rPr>
        <w:t>6.55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1.29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人员考走</w:t>
      </w:r>
      <w:r>
        <w:rPr>
          <w:rFonts w:hint="eastAsia" w:ascii="仿宋_GB2312" w:hAnsi="仿宋_GB2312" w:eastAsia="仿宋_GB2312" w:cs="仿宋_GB2312"/>
          <w:sz w:val="32"/>
          <w:szCs w:val="32"/>
          <w:lang w:val="en-US" w:eastAsia="zh-CN"/>
        </w:rPr>
        <w:t>1名</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度一般公共预算财政拨款支出</w:t>
      </w:r>
      <w:r>
        <w:rPr>
          <w:rFonts w:hint="eastAsia" w:ascii="仿宋_GB2312" w:hAnsi="仿宋_GB2312" w:eastAsia="仿宋_GB2312" w:cs="仿宋_GB2312"/>
          <w:sz w:val="32"/>
          <w:szCs w:val="32"/>
          <w:lang w:val="en-US" w:eastAsia="zh-CN"/>
        </w:rPr>
        <w:t>509.03</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99.75</w:t>
      </w:r>
      <w:r>
        <w:rPr>
          <w:rFonts w:hint="eastAsia" w:ascii="仿宋_GB2312" w:hAnsi="仿宋_GB2312" w:eastAsia="仿宋_GB2312" w:cs="仿宋_GB2312"/>
          <w:sz w:val="32"/>
          <w:szCs w:val="32"/>
        </w:rPr>
        <w:t>%。与上年度相比，一般公共预算财政拨款支出减少</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0.22</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人员考走</w:t>
      </w:r>
      <w:r>
        <w:rPr>
          <w:rFonts w:hint="eastAsia" w:ascii="仿宋_GB2312" w:hAnsi="仿宋_GB2312" w:eastAsia="仿宋_GB2312" w:cs="仿宋_GB2312"/>
          <w:sz w:val="32"/>
          <w:szCs w:val="32"/>
          <w:lang w:val="en-US" w:eastAsia="zh-CN"/>
        </w:rPr>
        <w:t>1名</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度一般公共预算财政拨款支出</w:t>
      </w:r>
      <w:r>
        <w:rPr>
          <w:rFonts w:hint="eastAsia" w:ascii="仿宋_GB2312" w:hAnsi="仿宋_GB2312" w:eastAsia="仿宋_GB2312" w:cs="仿宋_GB2312"/>
          <w:sz w:val="32"/>
          <w:szCs w:val="32"/>
          <w:lang w:val="en-US" w:eastAsia="zh-CN"/>
        </w:rPr>
        <w:t>509.03</w:t>
      </w:r>
      <w:r>
        <w:rPr>
          <w:rFonts w:hint="eastAsia" w:ascii="仿宋_GB2312" w:hAnsi="仿宋_GB2312" w:eastAsia="仿宋_GB2312" w:cs="仿宋_GB2312"/>
          <w:sz w:val="32"/>
          <w:szCs w:val="32"/>
        </w:rPr>
        <w:t>万元，主要用于以下方面：城乡社区支出为411.16万元，占80.73%；社会保障和就业支出为31.6万元，占6.21%；卫生健康支出为24.59万元，占4.83%；住房保障支出为23.71万元，占4.64%；自然资源海洋气象等支出为10.18万元，占2%。</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度一般公共预算财政拨款支出年初预算为</w:t>
      </w:r>
      <w:r>
        <w:rPr>
          <w:rFonts w:hint="eastAsia" w:ascii="仿宋_GB2312" w:hAnsi="仿宋_GB2312" w:eastAsia="仿宋_GB2312" w:cs="仿宋_GB2312"/>
          <w:sz w:val="32"/>
          <w:szCs w:val="32"/>
          <w:lang w:val="en-US" w:eastAsia="zh-CN"/>
        </w:rPr>
        <w:t>509.03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509.03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1．2120201 城乡社区规划与管理。</w:t>
      </w:r>
      <w:r>
        <w:rPr>
          <w:rFonts w:hint="eastAsia" w:ascii="仿宋_GB2312" w:hAnsi="仿宋_GB2312" w:eastAsia="仿宋_GB2312" w:cs="仿宋_GB2312"/>
          <w:sz w:val="32"/>
          <w:szCs w:val="32"/>
        </w:rPr>
        <w:t>年初预算为411.16万元，支出决算为411.16万元，完成年初预算的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2．2101101 行政单位医疗。</w:t>
      </w:r>
      <w:r>
        <w:rPr>
          <w:rFonts w:hint="eastAsia" w:ascii="仿宋_GB2312" w:hAnsi="仿宋_GB2312" w:eastAsia="仿宋_GB2312" w:cs="仿宋_GB2312"/>
          <w:sz w:val="32"/>
          <w:szCs w:val="32"/>
        </w:rPr>
        <w:t>年初预算为24.59万元，支出决算24.59万元，完成年初预算的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．2210201 住房公积金。</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23.71</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val="en-US" w:eastAsia="zh-CN"/>
        </w:rPr>
        <w:t>23.71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．2200102 一般行政管理事务。</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10.18</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val="en-US" w:eastAsia="zh-CN"/>
        </w:rPr>
        <w:t>10.18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．2080505 机关事业单位基本养老保险缴费支出。</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31.59</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val="en-US" w:eastAsia="zh-CN"/>
        </w:rPr>
        <w:t>31.59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．2080801 死亡抚恤。</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w:t>
      </w:r>
      <w:bookmarkStart w:id="0" w:name="_GoBack"/>
      <w:r>
        <w:rPr>
          <w:rFonts w:hint="eastAsia" w:ascii="仿宋_GB2312" w:hAnsi="仿宋_GB2312" w:eastAsia="仿宋_GB2312" w:cs="仿宋_GB2312"/>
          <w:sz w:val="32"/>
          <w:szCs w:val="32"/>
          <w:highlight w:val="none"/>
        </w:rPr>
        <w:t>公共预算财政拨款基本支出</w:t>
      </w:r>
      <w:r>
        <w:rPr>
          <w:rFonts w:hint="eastAsia" w:ascii="仿宋_GB2312" w:hAnsi="仿宋_GB2312" w:eastAsia="仿宋_GB2312" w:cs="仿宋_GB2312"/>
          <w:sz w:val="32"/>
          <w:szCs w:val="32"/>
          <w:highlight w:val="none"/>
          <w:lang w:val="en-US" w:eastAsia="zh-CN"/>
        </w:rPr>
        <w:t>491.06</w:t>
      </w:r>
      <w:r>
        <w:rPr>
          <w:rFonts w:hint="eastAsia" w:ascii="仿宋_GB2312" w:hAnsi="仿宋_GB2312" w:eastAsia="仿宋_GB2312" w:cs="仿宋_GB2312"/>
          <w:sz w:val="32"/>
          <w:szCs w:val="32"/>
          <w:highlight w:val="none"/>
        </w:rPr>
        <w:t>万元。与上年度相比，减少</w:t>
      </w:r>
      <w:r>
        <w:rPr>
          <w:rFonts w:hint="eastAsia" w:ascii="仿宋_GB2312" w:hAnsi="仿宋_GB2312" w:eastAsia="仿宋_GB2312" w:cs="仿宋_GB2312"/>
          <w:sz w:val="32"/>
          <w:szCs w:val="32"/>
          <w:highlight w:val="none"/>
          <w:lang w:val="en-US" w:eastAsia="zh-CN"/>
        </w:rPr>
        <w:t>6.55</w:t>
      </w:r>
      <w:r>
        <w:rPr>
          <w:rFonts w:hint="eastAsia" w:ascii="仿宋_GB2312" w:hAnsi="仿宋_GB2312" w:eastAsia="仿宋_GB2312" w:cs="仿宋_GB2312"/>
          <w:sz w:val="32"/>
          <w:szCs w:val="32"/>
          <w:highlight w:val="none"/>
        </w:rPr>
        <w:t>万元，增长（下降）</w:t>
      </w:r>
      <w:r>
        <w:rPr>
          <w:rFonts w:hint="eastAsia" w:ascii="仿宋_GB2312" w:hAnsi="仿宋_GB2312" w:eastAsia="仿宋_GB2312" w:cs="仿宋_GB2312"/>
          <w:sz w:val="32"/>
          <w:szCs w:val="32"/>
          <w:highlight w:val="none"/>
          <w:lang w:val="en-US" w:eastAsia="zh-CN"/>
        </w:rPr>
        <w:t>1.29</w:t>
      </w:r>
      <w:r>
        <w:rPr>
          <w:rFonts w:hint="eastAsia" w:ascii="仿宋_GB2312" w:hAnsi="仿宋_GB2312" w:eastAsia="仿宋_GB2312" w:cs="仿宋_GB2312"/>
          <w:sz w:val="32"/>
          <w:szCs w:val="32"/>
          <w:highlight w:val="none"/>
        </w:rPr>
        <w:t>%，主要原因：</w:t>
      </w:r>
      <w:r>
        <w:rPr>
          <w:rFonts w:hint="eastAsia" w:ascii="仿宋_GB2312" w:hAnsi="仿宋_GB2312" w:eastAsia="仿宋_GB2312" w:cs="仿宋_GB2312"/>
          <w:sz w:val="32"/>
          <w:szCs w:val="32"/>
          <w:highlight w:val="none"/>
          <w:lang w:eastAsia="zh-CN"/>
        </w:rPr>
        <w:t>人员考走</w:t>
      </w:r>
      <w:r>
        <w:rPr>
          <w:rFonts w:hint="eastAsia" w:ascii="仿宋_GB2312" w:hAnsi="仿宋_GB2312" w:eastAsia="仿宋_GB2312" w:cs="仿宋_GB2312"/>
          <w:sz w:val="32"/>
          <w:szCs w:val="32"/>
          <w:highlight w:val="none"/>
          <w:lang w:val="en-US" w:eastAsia="zh-CN"/>
        </w:rPr>
        <w:t>1名。</w:t>
      </w:r>
      <w:r>
        <w:rPr>
          <w:rFonts w:hint="eastAsia" w:ascii="仿宋_GB2312" w:hAnsi="仿宋_GB2312" w:eastAsia="仿宋_GB2312" w:cs="仿宋_GB2312"/>
          <w:sz w:val="32"/>
          <w:szCs w:val="32"/>
          <w:highlight w:val="none"/>
        </w:rPr>
        <w:t>其中：人员经费460.92万元，主要包括：基本工资、津贴补贴、奖金、伙食补助费、绩效工资、机关事业单位基本养老保险缴费、职业年金缴费、职工基本医疗保险缴费、</w:t>
      </w:r>
      <w:bookmarkEnd w:id="0"/>
      <w:r>
        <w:rPr>
          <w:rFonts w:hint="eastAsia" w:ascii="仿宋_GB2312" w:hAnsi="仿宋_GB2312" w:eastAsia="仿宋_GB2312" w:cs="仿宋_GB2312"/>
          <w:sz w:val="32"/>
          <w:szCs w:val="32"/>
        </w:rPr>
        <w:t>公务员医疗补助缴费、其他社会保障缴费、住房公积金、医疗费、其他工资福利支出、离休费、退休费、抚恤金、退职（役）费、抚恤金、生活补助、救济费、医疗费补助、助学金、奖励金、其他对个人和家庭的补助支出；公用经费</w:t>
      </w:r>
      <w:r>
        <w:rPr>
          <w:rFonts w:hint="eastAsia" w:ascii="仿宋_GB2312" w:hAnsi="仿宋_GB2312" w:eastAsia="仿宋_GB2312" w:cs="仿宋_GB2312"/>
          <w:sz w:val="32"/>
          <w:szCs w:val="32"/>
          <w:lang w:val="en-US" w:eastAsia="zh-CN"/>
        </w:rPr>
        <w:t>28.87</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度“三公”经费财政拨款支出预算为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val="en-US" w:eastAsia="zh-CN"/>
        </w:rPr>
        <w:t>车辆保险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期末，部门开支财政拨款的公务用车保有量为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2021年，我部门（单位）纳入预算绩效管理的支出总额为10.18万元，其中人员经费支出0万元，公用经费支出10.18万元；支出项目共1个，支出金额10.18万元。其中，进行项目绩效自评1个，自评金额10.18万元；纳入重点绩效评价（部门评价或财政评价）1个，评价金额10.18万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收取原八中门面房房租，上缴国库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修缮和管理好原八中房屋</w:t>
      </w:r>
      <w:r>
        <w:rPr>
          <w:rFonts w:hint="eastAsia" w:ascii="仿宋_GB2312" w:hAnsi="仿宋_GB2312" w:eastAsia="仿宋_GB2312" w:cs="仿宋_GB2312"/>
          <w:sz w:val="32"/>
          <w:szCs w:val="32"/>
          <w:lang w:eastAsia="zh-CN"/>
        </w:rPr>
        <w:t>，按期完成，上缴国库，修缮和管理好原八中房屋。</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收取原八中门面房房租，上缴国库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修缮和管理好原八中房屋</w:t>
      </w:r>
      <w:r>
        <w:rPr>
          <w:rFonts w:hint="eastAsia" w:ascii="仿宋_GB2312" w:hAnsi="仿宋_GB2312" w:eastAsia="仿宋_GB2312" w:cs="仿宋_GB2312"/>
          <w:sz w:val="32"/>
          <w:szCs w:val="32"/>
          <w:lang w:eastAsia="zh-CN"/>
        </w:rPr>
        <w:t>，按期完成，上缴国库，修缮和管理好原八中房屋。</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outlineLvl w:val="1"/>
        <w:rPr>
          <w:rFonts w:hint="eastAsia" w:ascii="仿宋_GB2312" w:hAnsi="宋体" w:eastAsia="仿宋_GB2312" w:cs="宋体"/>
          <w:sz w:val="32"/>
          <w:szCs w:val="32"/>
        </w:rPr>
      </w:pPr>
      <w:r>
        <w:rPr>
          <w:rFonts w:hint="eastAsia" w:ascii="仿宋_GB2312" w:hAnsi="宋体" w:eastAsia="仿宋_GB2312" w:cs="宋体"/>
          <w:sz w:val="32"/>
          <w:szCs w:val="32"/>
        </w:rPr>
        <w:t>我部门</w:t>
      </w:r>
      <w:r>
        <w:rPr>
          <w:rFonts w:hint="eastAsia" w:ascii="仿宋_GB2312" w:hAnsi="宋体" w:eastAsia="仿宋_GB2312" w:cs="宋体"/>
          <w:sz w:val="32"/>
          <w:szCs w:val="32"/>
          <w:lang w:eastAsia="zh-CN"/>
        </w:rPr>
        <w:t>2021年</w:t>
      </w:r>
      <w:r>
        <w:rPr>
          <w:rFonts w:hint="eastAsia" w:ascii="仿宋_GB2312" w:hAnsi="宋体" w:eastAsia="仿宋_GB2312" w:cs="宋体"/>
          <w:sz w:val="32"/>
          <w:szCs w:val="32"/>
        </w:rPr>
        <w:t>度没有政府性基金收入，也没有使用政府性基金安排的支出。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2021年</w:t>
      </w:r>
      <w:r>
        <w:rPr>
          <w:rFonts w:hint="eastAsia" w:ascii="仿宋_GB2312" w:hAnsi="仿宋_GB2312" w:eastAsia="仿宋_GB2312" w:cs="仿宋_GB2312"/>
          <w:sz w:val="32"/>
          <w:szCs w:val="32"/>
          <w:highlight w:val="none"/>
        </w:rPr>
        <w:t>度机关运行经费</w:t>
      </w:r>
      <w:r>
        <w:rPr>
          <w:rFonts w:hint="eastAsia" w:ascii="仿宋_GB2312" w:hAnsi="仿宋_GB2312" w:eastAsia="仿宋_GB2312" w:cs="仿宋_GB2312"/>
          <w:sz w:val="32"/>
          <w:szCs w:val="32"/>
          <w:highlight w:val="none"/>
          <w:u w:val="dotDash"/>
        </w:rPr>
        <w:t>年</w:t>
      </w:r>
      <w:r>
        <w:rPr>
          <w:rFonts w:hint="eastAsia" w:ascii="仿宋_GB2312" w:hAnsi="仿宋_GB2312" w:eastAsia="仿宋_GB2312" w:cs="仿宋_GB2312"/>
          <w:sz w:val="32"/>
          <w:szCs w:val="32"/>
          <w:highlight w:val="none"/>
        </w:rPr>
        <w:t>初预算为</w:t>
      </w:r>
      <w:r>
        <w:rPr>
          <w:rFonts w:hint="eastAsia" w:ascii="仿宋_GB2312" w:hAnsi="仿宋_GB2312" w:eastAsia="仿宋_GB2312" w:cs="仿宋_GB2312"/>
          <w:sz w:val="32"/>
          <w:szCs w:val="32"/>
          <w:highlight w:val="none"/>
          <w:lang w:val="en-US" w:eastAsia="zh-CN"/>
        </w:rPr>
        <w:t>491.06</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491.06</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%。决算数与年初预算数存在差异的主要原因是……。</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2021年</w:t>
      </w:r>
      <w:r>
        <w:rPr>
          <w:rFonts w:hint="eastAsia" w:ascii="仿宋_GB2312" w:hAnsi="仿宋_GB2312" w:eastAsia="仿宋_GB2312" w:cs="仿宋_GB2312"/>
          <w:sz w:val="32"/>
          <w:szCs w:val="32"/>
          <w:highlight w:val="none"/>
        </w:rPr>
        <w:t>度机关运行经费支出</w:t>
      </w:r>
      <w:r>
        <w:rPr>
          <w:rFonts w:hint="eastAsia" w:ascii="仿宋_GB2312" w:hAnsi="仿宋_GB2312" w:eastAsia="仿宋_GB2312" w:cs="仿宋_GB2312"/>
          <w:sz w:val="32"/>
          <w:szCs w:val="32"/>
          <w:highlight w:val="none"/>
          <w:lang w:val="en-US" w:eastAsia="zh-CN"/>
        </w:rPr>
        <w:t>491.06</w:t>
      </w:r>
      <w:r>
        <w:rPr>
          <w:rFonts w:hint="eastAsia" w:ascii="仿宋_GB2312" w:hAnsi="仿宋_GB2312" w:eastAsia="仿宋_GB2312" w:cs="仿宋_GB2312"/>
          <w:sz w:val="32"/>
          <w:szCs w:val="32"/>
          <w:highlight w:val="none"/>
        </w:rPr>
        <w:t>万元，较上年度减少</w:t>
      </w:r>
      <w:r>
        <w:rPr>
          <w:rFonts w:hint="eastAsia" w:ascii="仿宋_GB2312" w:hAnsi="仿宋_GB2312" w:eastAsia="仿宋_GB2312" w:cs="仿宋_GB2312"/>
          <w:sz w:val="32"/>
          <w:szCs w:val="32"/>
          <w:highlight w:val="none"/>
          <w:lang w:val="en-US" w:eastAsia="zh-CN"/>
        </w:rPr>
        <w:t>6.55</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1.29</w:t>
      </w:r>
      <w:r>
        <w:rPr>
          <w:rFonts w:hint="eastAsia" w:ascii="仿宋_GB2312" w:hAnsi="仿宋_GB2312" w:eastAsia="仿宋_GB2312" w:cs="仿宋_GB2312"/>
          <w:sz w:val="32"/>
          <w:szCs w:val="32"/>
          <w:highlight w:val="none"/>
        </w:rPr>
        <w:t>%。增加（减少）的主要原因是：</w:t>
      </w:r>
      <w:r>
        <w:rPr>
          <w:rFonts w:hint="eastAsia" w:ascii="仿宋_GB2312" w:hAnsi="仿宋_GB2312" w:eastAsia="仿宋_GB2312" w:cs="仿宋_GB2312"/>
          <w:sz w:val="32"/>
          <w:szCs w:val="32"/>
          <w:highlight w:val="none"/>
          <w:lang w:val="en-US" w:eastAsia="zh-CN"/>
        </w:rPr>
        <w:t>人员考走1名</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十一、政府采购支出情况说明</w:t>
      </w:r>
    </w:p>
    <w:p>
      <w:pPr>
        <w:widowControl/>
        <w:spacing w:line="59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2021年</w:t>
      </w:r>
      <w:r>
        <w:rPr>
          <w:rFonts w:hint="eastAsia" w:ascii="仿宋_GB2312" w:hAnsi="仿宋_GB2312" w:eastAsia="仿宋_GB2312" w:cs="仿宋_GB2312"/>
          <w:sz w:val="32"/>
          <w:szCs w:val="32"/>
          <w:highlight w:val="none"/>
        </w:rPr>
        <w:t>度政府采购支出总额</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十二、国有资产占用情况说明</w:t>
      </w:r>
    </w:p>
    <w:p>
      <w:pPr>
        <w:widowControl/>
        <w:ind w:firstLine="640" w:firstLineChars="200"/>
        <w:jc w:val="left"/>
        <w:rPr>
          <w:rFonts w:hint="eastAsia" w:ascii="黑体" w:hAnsi="宋体" w:eastAsia="仿宋_GB2312" w:cs="宋体"/>
          <w:kern w:val="0"/>
          <w:sz w:val="28"/>
          <w:szCs w:val="28"/>
          <w:highlight w:val="none"/>
          <w:lang w:eastAsia="zh-CN"/>
        </w:rPr>
      </w:pPr>
      <w:r>
        <w:rPr>
          <w:rFonts w:hint="eastAsia" w:ascii="仿宋_GB2312" w:hAnsi="仿宋_GB2312" w:eastAsia="仿宋_GB2312" w:cs="仿宋_GB2312"/>
          <w:sz w:val="32"/>
          <w:szCs w:val="32"/>
          <w:highlight w:val="none"/>
          <w:lang w:eastAsia="zh-CN"/>
        </w:rPr>
        <w:t>2021年</w:t>
      </w:r>
      <w:r>
        <w:rPr>
          <w:rFonts w:hint="eastAsia" w:ascii="仿宋_GB2312" w:hAnsi="仿宋_GB2312" w:eastAsia="仿宋_GB2312" w:cs="仿宋_GB2312"/>
          <w:sz w:val="32"/>
          <w:szCs w:val="32"/>
          <w:highlight w:val="none"/>
        </w:rPr>
        <w:t>期末，我部门共有车辆</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辆，其中：执法执勤用车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sz w:val="32"/>
          <w:szCs w:val="32"/>
          <w:highlight w:val="none"/>
          <w:lang w:eastAsia="zh-CN"/>
        </w:rPr>
        <w:t>。</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wF90idMBAAClAwAADgAAAAAAAAABACAAAAAe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4aatQBAACl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zeUmK5wYGff3w///x9/vWN&#10;VOVymRTqPdSY+OgxNQ73bsC9me8BLxPxoQ0mfZESwTjqe7roK4dIRHq0qlarEkMCY7OD+MXTcx8g&#10;vpPOkGQwGnCAWVd+/ABxTJ1TUjXrHpTWeYjakp7RN8tqmR9cIgiuLdZIJMZmkxWH3TAx27nmhMR6&#10;XAJGLe48Jfq9RY3TvsxGmI3dbBx8UPsuL1TqBPzbQ8RucpOpwgg7FcbpZZrTpqX1+NvPWU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uuGmrUAQAApQMAAA4AAAAAAAAAAQAgAAAAH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NDFkNmZhOTg3ZjllNzA2MTViZDVlODE3YmNkYmMifQ=="/>
  </w:docVars>
  <w:rsids>
    <w:rsidRoot w:val="00000000"/>
    <w:rsid w:val="00016452"/>
    <w:rsid w:val="068A502B"/>
    <w:rsid w:val="09D83026"/>
    <w:rsid w:val="21DC286A"/>
    <w:rsid w:val="23632F25"/>
    <w:rsid w:val="238A6991"/>
    <w:rsid w:val="240E06F2"/>
    <w:rsid w:val="2750185C"/>
    <w:rsid w:val="27827B5B"/>
    <w:rsid w:val="28F561C9"/>
    <w:rsid w:val="29400E7C"/>
    <w:rsid w:val="2C250F60"/>
    <w:rsid w:val="2D5347F6"/>
    <w:rsid w:val="329534C4"/>
    <w:rsid w:val="34BB2AED"/>
    <w:rsid w:val="3E4C25CA"/>
    <w:rsid w:val="4701142B"/>
    <w:rsid w:val="484B74A9"/>
    <w:rsid w:val="497A2108"/>
    <w:rsid w:val="4D1319CA"/>
    <w:rsid w:val="4EFC09E4"/>
    <w:rsid w:val="54527990"/>
    <w:rsid w:val="56EF6656"/>
    <w:rsid w:val="587F2E51"/>
    <w:rsid w:val="5B1B628C"/>
    <w:rsid w:val="5CAA3366"/>
    <w:rsid w:val="6F570BBD"/>
    <w:rsid w:val="7BCB5B60"/>
    <w:rsid w:val="7D255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annotation reference"/>
    <w:basedOn w:val="5"/>
    <w:qFormat/>
    <w:uiPriority w:val="0"/>
    <w:rPr>
      <w:sz w:val="21"/>
      <w:szCs w:val="21"/>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5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7785</Words>
  <Characters>10669</Characters>
  <Lines>0</Lines>
  <Paragraphs>0</Paragraphs>
  <TotalTime>2</TotalTime>
  <ScaleCrop>false</ScaleCrop>
  <LinksUpToDate>false</LinksUpToDate>
  <CharactersWithSpaces>10979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夜明珠</cp:lastModifiedBy>
  <dcterms:modified xsi:type="dcterms:W3CDTF">2023-06-15T09:31:14Z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3C00BC72F70A4025BB27F0B6BCE77CBE</vt:lpwstr>
  </property>
</Properties>
</file>