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rPr>
          <w:rFonts w:ascii="黑体" w:hAnsi="黑体" w:eastAsia="黑体" w:cs="黑体"/>
          <w:color w:val="000000"/>
          <w:sz w:val="52"/>
          <w:szCs w:val="52"/>
        </w:rPr>
      </w:pPr>
    </w:p>
    <w:p>
      <w:pPr>
        <w:ind w:firstLine="1040"/>
        <w:jc w:val="center"/>
        <w:rPr>
          <w:rFonts w:ascii="黑体" w:hAnsi="黑体" w:eastAsia="黑体" w:cs="黑体"/>
          <w:color w:val="000000"/>
          <w:sz w:val="52"/>
          <w:szCs w:val="52"/>
        </w:rPr>
      </w:pPr>
    </w:p>
    <w:p>
      <w:pPr>
        <w:ind w:firstLine="197" w:firstLineChars="38"/>
        <w:jc w:val="center"/>
        <w:rPr>
          <w:rFonts w:ascii="黑体" w:hAnsi="黑体" w:eastAsia="黑体" w:cs="黑体"/>
          <w:color w:val="000000"/>
          <w:sz w:val="52"/>
          <w:szCs w:val="52"/>
        </w:rPr>
      </w:pPr>
      <w:r>
        <w:rPr>
          <w:rFonts w:ascii="黑体" w:hAnsi="黑体" w:eastAsia="黑体" w:cs="黑体"/>
          <w:color w:val="000000"/>
          <w:sz w:val="52"/>
          <w:szCs w:val="52"/>
        </w:rPr>
        <w:t>202</w:t>
      </w:r>
      <w:r>
        <w:rPr>
          <w:rFonts w:hint="eastAsia" w:ascii="黑体" w:hAnsi="黑体" w:eastAsia="黑体" w:cs="黑体"/>
          <w:color w:val="000000"/>
          <w:sz w:val="52"/>
          <w:szCs w:val="52"/>
          <w:lang w:val="en-US" w:eastAsia="zh-CN"/>
        </w:rPr>
        <w:t>1</w:t>
      </w:r>
      <w:r>
        <w:rPr>
          <w:rFonts w:hint="eastAsia" w:ascii="黑体" w:hAnsi="黑体" w:eastAsia="黑体" w:cs="黑体"/>
          <w:color w:val="000000"/>
          <w:sz w:val="52"/>
          <w:szCs w:val="52"/>
        </w:rPr>
        <w:t>年度三门峡市自然资源和规划局</w:t>
      </w:r>
      <w:r>
        <w:rPr>
          <w:rFonts w:hint="eastAsia" w:ascii="黑体" w:hAnsi="黑体" w:eastAsia="黑体" w:cs="黑体"/>
          <w:color w:val="000000"/>
          <w:sz w:val="52"/>
          <w:szCs w:val="52"/>
          <w:lang w:val="en-US" w:eastAsia="zh-CN"/>
        </w:rPr>
        <w:t>机关本级</w:t>
      </w:r>
      <w:r>
        <w:rPr>
          <w:rFonts w:hint="eastAsia" w:ascii="黑体" w:hAnsi="黑体" w:eastAsia="黑体" w:cs="黑体"/>
          <w:color w:val="000000"/>
          <w:sz w:val="52"/>
          <w:szCs w:val="52"/>
        </w:rPr>
        <w:t>决算</w:t>
      </w:r>
    </w:p>
    <w:p>
      <w:pPr>
        <w:ind w:firstLine="1040"/>
        <w:rPr>
          <w:rFonts w:ascii="宋体" w:hAnsi="宋体" w:eastAsia="宋体" w:cs="宋体"/>
          <w:color w:val="000000"/>
          <w:sz w:val="52"/>
          <w:szCs w:val="52"/>
        </w:rPr>
      </w:pPr>
    </w:p>
    <w:p>
      <w:pPr>
        <w:ind w:firstLine="1040"/>
        <w:rPr>
          <w:rFonts w:ascii="宋体" w:hAnsi="宋体" w:eastAsia="宋体" w:cs="宋体"/>
          <w:color w:val="000000"/>
          <w:sz w:val="52"/>
          <w:szCs w:val="52"/>
        </w:rPr>
      </w:pPr>
    </w:p>
    <w:p>
      <w:pPr>
        <w:ind w:firstLine="1040"/>
        <w:rPr>
          <w:rFonts w:ascii="宋体" w:hAnsi="宋体" w:eastAsia="宋体" w:cs="宋体"/>
          <w:color w:val="000000"/>
          <w:sz w:val="52"/>
          <w:szCs w:val="52"/>
        </w:rPr>
      </w:pPr>
    </w:p>
    <w:p>
      <w:pPr>
        <w:ind w:firstLine="1040"/>
        <w:rPr>
          <w:rFonts w:ascii="宋体" w:hAnsi="宋体" w:eastAsia="宋体" w:cs="宋体"/>
          <w:color w:val="000000"/>
          <w:sz w:val="52"/>
          <w:szCs w:val="52"/>
        </w:rPr>
      </w:pPr>
    </w:p>
    <w:p>
      <w:pPr>
        <w:ind w:firstLine="1040"/>
        <w:rPr>
          <w:rFonts w:ascii="宋体" w:hAnsi="宋体" w:eastAsia="宋体" w:cs="宋体"/>
          <w:color w:val="000000"/>
          <w:sz w:val="52"/>
          <w:szCs w:val="52"/>
        </w:rPr>
      </w:pPr>
    </w:p>
    <w:p>
      <w:pPr>
        <w:ind w:firstLine="1040"/>
        <w:rPr>
          <w:rFonts w:ascii="宋体" w:hAnsi="宋体" w:eastAsia="宋体" w:cs="宋体"/>
          <w:color w:val="000000"/>
          <w:sz w:val="52"/>
          <w:szCs w:val="52"/>
        </w:rPr>
      </w:pPr>
    </w:p>
    <w:p>
      <w:pPr>
        <w:ind w:firstLine="1040"/>
        <w:rPr>
          <w:rFonts w:ascii="宋体" w:hAnsi="宋体" w:eastAsia="宋体" w:cs="宋体"/>
          <w:color w:val="000000"/>
          <w:sz w:val="52"/>
          <w:szCs w:val="52"/>
        </w:rPr>
      </w:pPr>
    </w:p>
    <w:p>
      <w:pPr>
        <w:ind w:firstLine="1040"/>
        <w:rPr>
          <w:rFonts w:ascii="宋体" w:hAnsi="宋体" w:eastAsia="宋体" w:cs="宋体"/>
          <w:color w:val="000000"/>
          <w:sz w:val="52"/>
          <w:szCs w:val="52"/>
        </w:rPr>
      </w:pPr>
    </w:p>
    <w:p>
      <w:pPr>
        <w:ind w:firstLine="1040"/>
        <w:rPr>
          <w:rFonts w:ascii="宋体" w:hAnsi="宋体" w:eastAsia="宋体" w:cs="宋体"/>
          <w:color w:val="000000"/>
          <w:sz w:val="52"/>
          <w:szCs w:val="52"/>
        </w:rPr>
      </w:pPr>
    </w:p>
    <w:p>
      <w:pPr>
        <w:ind w:firstLine="640"/>
        <w:jc w:val="center"/>
        <w:rPr>
          <w:color w:val="000000"/>
        </w:rPr>
      </w:pPr>
    </w:p>
    <w:p>
      <w:pPr>
        <w:ind w:firstLine="640"/>
        <w:jc w:val="center"/>
        <w:rPr>
          <w:color w:val="000000"/>
        </w:rPr>
      </w:pPr>
    </w:p>
    <w:p>
      <w:pPr>
        <w:ind w:firstLine="640"/>
        <w:jc w:val="center"/>
        <w:rPr>
          <w:color w:val="000000"/>
        </w:rPr>
      </w:pPr>
    </w:p>
    <w:p>
      <w:pPr>
        <w:ind w:firstLine="640"/>
        <w:jc w:val="center"/>
        <w:rPr>
          <w:color w:val="000000"/>
        </w:rPr>
      </w:pPr>
    </w:p>
    <w:p>
      <w:pPr>
        <w:ind w:firstLine="640"/>
        <w:jc w:val="center"/>
        <w:rPr>
          <w:color w:val="000000"/>
        </w:rPr>
      </w:pPr>
    </w:p>
    <w:p>
      <w:pPr>
        <w:ind w:firstLine="640"/>
        <w:jc w:val="center"/>
        <w:rPr>
          <w:color w:val="000000"/>
        </w:rPr>
      </w:pPr>
    </w:p>
    <w:p>
      <w:pPr>
        <w:ind w:firstLine="640"/>
        <w:jc w:val="center"/>
        <w:rPr>
          <w:color w:val="000000"/>
        </w:rPr>
      </w:pPr>
    </w:p>
    <w:p>
      <w:pPr>
        <w:ind w:firstLine="640"/>
        <w:jc w:val="center"/>
        <w:rPr>
          <w:rFonts w:ascii="仿宋" w:hAnsi="仿宋" w:cs="仿宋"/>
          <w:b/>
          <w:bCs/>
          <w:color w:val="000000"/>
          <w:sz w:val="44"/>
          <w:szCs w:val="44"/>
        </w:rPr>
      </w:pPr>
      <w:r>
        <w:rPr>
          <w:color w:val="000000"/>
        </w:rPr>
        <w:t>二〇二</w:t>
      </w:r>
      <w:r>
        <w:rPr>
          <w:rFonts w:hint="eastAsia"/>
          <w:color w:val="000000"/>
          <w:lang w:val="en-US" w:eastAsia="zh-CN"/>
        </w:rPr>
        <w:t>二</w:t>
      </w:r>
      <w:r>
        <w:rPr>
          <w:color w:val="000000"/>
        </w:rPr>
        <w:t>年</w:t>
      </w:r>
      <w:r>
        <w:rPr>
          <w:rFonts w:hint="eastAsia"/>
          <w:color w:val="000000"/>
        </w:rPr>
        <w:t>九月</w:t>
      </w:r>
    </w:p>
    <w:p>
      <w:pPr>
        <w:ind w:firstLine="883"/>
        <w:rPr>
          <w:rFonts w:ascii="仿宋" w:hAnsi="仿宋" w:eastAsia="仿宋" w:cs="仿宋"/>
          <w:b/>
          <w:bCs/>
          <w:color w:val="000000"/>
          <w:sz w:val="44"/>
          <w:szCs w:val="44"/>
        </w:rPr>
      </w:pPr>
    </w:p>
    <w:p>
      <w:pPr>
        <w:kinsoku w:val="0"/>
        <w:overflowPunct w:val="0"/>
        <w:adjustRightInd w:val="0"/>
        <w:snapToGrid w:val="0"/>
        <w:spacing w:line="360" w:lineRule="auto"/>
        <w:ind w:left="-142" w:right="51" w:firstLine="30" w:firstLineChars="7"/>
        <w:jc w:val="center"/>
        <w:rPr>
          <w:rFonts w:ascii="黑体" w:eastAsia="黑体" w:cs="黑体"/>
          <w:sz w:val="44"/>
          <w:szCs w:val="44"/>
        </w:rPr>
      </w:pPr>
    </w:p>
    <w:p>
      <w:pPr>
        <w:ind w:firstLine="883"/>
        <w:jc w:val="center"/>
        <w:rPr>
          <w:rFonts w:ascii="仿宋" w:hAnsi="仿宋" w:eastAsia="仿宋" w:cs="仿宋"/>
          <w:b/>
          <w:bCs/>
          <w:color w:val="000000"/>
          <w:sz w:val="44"/>
          <w:szCs w:val="44"/>
        </w:rPr>
      </w:pPr>
    </w:p>
    <w:p>
      <w:pPr>
        <w:ind w:firstLine="883"/>
        <w:jc w:val="center"/>
        <w:rPr>
          <w:rFonts w:ascii="仿宋" w:hAnsi="仿宋" w:eastAsia="仿宋" w:cs="仿宋"/>
          <w:b/>
          <w:bCs/>
          <w:color w:val="000000"/>
          <w:sz w:val="44"/>
          <w:szCs w:val="44"/>
        </w:rPr>
      </w:pPr>
      <w:r>
        <w:rPr>
          <w:rFonts w:hint="eastAsia" w:ascii="仿宋" w:hAnsi="仿宋" w:eastAsia="仿宋" w:cs="仿宋"/>
          <w:b/>
          <w:bCs/>
          <w:color w:val="000000"/>
          <w:sz w:val="44"/>
          <w:szCs w:val="44"/>
        </w:rPr>
        <w:t>目    录</w:t>
      </w:r>
    </w:p>
    <w:p>
      <w:pPr>
        <w:kinsoku w:val="0"/>
        <w:overflowPunct w:val="0"/>
        <w:adjustRightInd w:val="0"/>
        <w:snapToGrid w:val="0"/>
        <w:spacing w:line="360" w:lineRule="auto"/>
        <w:ind w:left="-141" w:leftChars="-44" w:right="51" w:firstLine="656" w:firstLineChars="205"/>
        <w:rPr>
          <w:rFonts w:ascii="黑体" w:hAnsi="黑体" w:eastAsia="黑体" w:cs="黑体"/>
        </w:rPr>
      </w:pPr>
    </w:p>
    <w:p>
      <w:pPr>
        <w:kinsoku w:val="0"/>
        <w:overflowPunct w:val="0"/>
        <w:adjustRightInd w:val="0"/>
        <w:snapToGrid w:val="0"/>
        <w:spacing w:line="360" w:lineRule="auto"/>
        <w:ind w:right="51" w:firstLine="482" w:firstLineChars="150"/>
        <w:rPr>
          <w:rFonts w:ascii="仿宋" w:hAnsi="仿宋" w:eastAsia="仿宋"/>
          <w:b/>
        </w:rPr>
      </w:pPr>
      <w:r>
        <w:rPr>
          <w:rFonts w:hint="eastAsia" w:ascii="仿宋" w:hAnsi="仿宋" w:eastAsia="仿宋" w:cs="黑体"/>
          <w:b/>
        </w:rPr>
        <w:t>第一部分  三门峡市自然资源和规划局概况</w:t>
      </w:r>
    </w:p>
    <w:p>
      <w:pPr>
        <w:tabs>
          <w:tab w:val="left" w:pos="1260"/>
        </w:tabs>
        <w:kinsoku w:val="0"/>
        <w:overflowPunct w:val="0"/>
        <w:adjustRightInd w:val="0"/>
        <w:snapToGrid w:val="0"/>
        <w:spacing w:line="360" w:lineRule="auto"/>
        <w:ind w:right="4209" w:firstLine="480" w:firstLineChars="150"/>
        <w:rPr>
          <w:rFonts w:ascii="仿宋" w:hAnsi="仿宋" w:eastAsia="仿宋"/>
        </w:rPr>
      </w:pPr>
      <w:r>
        <w:rPr>
          <w:rFonts w:hint="eastAsia" w:ascii="仿宋" w:hAnsi="仿宋" w:eastAsia="仿宋" w:cs="仿宋_GB2312"/>
        </w:rPr>
        <w:t>一、部门职责</w:t>
      </w:r>
    </w:p>
    <w:p>
      <w:pPr>
        <w:tabs>
          <w:tab w:val="left" w:pos="1260"/>
        </w:tabs>
        <w:kinsoku w:val="0"/>
        <w:overflowPunct w:val="0"/>
        <w:adjustRightInd w:val="0"/>
        <w:snapToGrid w:val="0"/>
        <w:spacing w:line="360" w:lineRule="auto"/>
        <w:ind w:right="4209" w:firstLine="480" w:firstLineChars="150"/>
        <w:rPr>
          <w:rFonts w:ascii="仿宋" w:hAnsi="仿宋" w:eastAsia="仿宋"/>
        </w:rPr>
      </w:pPr>
      <w:r>
        <w:rPr>
          <w:rFonts w:hint="eastAsia" w:ascii="仿宋" w:hAnsi="仿宋" w:eastAsia="仿宋" w:cs="仿宋_GB2312"/>
        </w:rPr>
        <w:t>二、机构设置</w:t>
      </w:r>
    </w:p>
    <w:p>
      <w:pPr>
        <w:kinsoku w:val="0"/>
        <w:overflowPunct w:val="0"/>
        <w:adjustRightInd w:val="0"/>
        <w:snapToGrid w:val="0"/>
        <w:spacing w:line="360" w:lineRule="auto"/>
        <w:ind w:firstLine="482" w:firstLineChars="150"/>
        <w:rPr>
          <w:rFonts w:ascii="仿宋" w:hAnsi="仿宋" w:eastAsia="仿宋"/>
          <w:b/>
        </w:rPr>
      </w:pPr>
      <w:r>
        <w:rPr>
          <w:rFonts w:hint="eastAsia" w:ascii="仿宋" w:hAnsi="仿宋" w:eastAsia="仿宋" w:cs="黑体"/>
          <w:b/>
        </w:rPr>
        <w:t>第二部分</w:t>
      </w:r>
      <w:r>
        <w:rPr>
          <w:rFonts w:hint="eastAsia" w:ascii="仿宋" w:hAnsi="仿宋" w:eastAsia="仿宋" w:cs="黑体"/>
          <w:b/>
          <w:spacing w:val="-32"/>
        </w:rPr>
        <w:t xml:space="preserve">   </w:t>
      </w:r>
      <w:r>
        <w:rPr>
          <w:rFonts w:hint="eastAsia" w:ascii="仿宋" w:hAnsi="仿宋" w:eastAsia="仿宋" w:cs="黑体"/>
          <w:b/>
        </w:rPr>
        <w:t>20</w:t>
      </w:r>
      <w:r>
        <w:rPr>
          <w:rFonts w:ascii="仿宋" w:hAnsi="仿宋" w:eastAsia="仿宋" w:cs="黑体"/>
          <w:b/>
        </w:rPr>
        <w:t>2</w:t>
      </w:r>
      <w:r>
        <w:rPr>
          <w:rFonts w:hint="eastAsia" w:ascii="仿宋" w:hAnsi="仿宋" w:eastAsia="仿宋" w:cs="黑体"/>
          <w:b/>
          <w:lang w:val="en-US" w:eastAsia="zh-CN"/>
        </w:rPr>
        <w:t>1</w:t>
      </w:r>
      <w:r>
        <w:rPr>
          <w:rFonts w:hint="eastAsia" w:ascii="仿宋" w:hAnsi="仿宋" w:eastAsia="仿宋" w:cs="黑体"/>
          <w:b/>
        </w:rPr>
        <w:t>年度部门决算表</w:t>
      </w:r>
    </w:p>
    <w:p>
      <w:pPr>
        <w:kinsoku w:val="0"/>
        <w:overflowPunct w:val="0"/>
        <w:adjustRightInd w:val="0"/>
        <w:snapToGrid w:val="0"/>
        <w:spacing w:line="360" w:lineRule="auto"/>
        <w:ind w:right="51" w:firstLine="537" w:firstLineChars="168"/>
        <w:jc w:val="left"/>
        <w:rPr>
          <w:rFonts w:ascii="仿宋" w:hAnsi="仿宋" w:eastAsia="仿宋"/>
        </w:rPr>
      </w:pPr>
      <w:r>
        <w:rPr>
          <w:rFonts w:hint="eastAsia" w:ascii="仿宋" w:hAnsi="仿宋" w:eastAsia="仿宋" w:cs="仿宋_GB2312"/>
        </w:rPr>
        <w:t xml:space="preserve">一、收入支出决算总表 </w:t>
      </w:r>
    </w:p>
    <w:p>
      <w:pPr>
        <w:kinsoku w:val="0"/>
        <w:overflowPunct w:val="0"/>
        <w:adjustRightInd w:val="0"/>
        <w:snapToGrid w:val="0"/>
        <w:spacing w:line="360" w:lineRule="auto"/>
        <w:ind w:right="51" w:firstLine="537" w:firstLineChars="168"/>
        <w:jc w:val="left"/>
        <w:rPr>
          <w:rFonts w:ascii="仿宋" w:hAnsi="仿宋" w:eastAsia="仿宋"/>
        </w:rPr>
      </w:pPr>
      <w:r>
        <w:rPr>
          <w:rFonts w:hint="eastAsia" w:ascii="仿宋" w:hAnsi="仿宋" w:eastAsia="仿宋" w:cs="仿宋_GB2312"/>
        </w:rPr>
        <w:t xml:space="preserve">二、收入决算表 </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三、支出决算表</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四、财政拨款收入支出决算总表</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五、一般公共预算财政拨款支出决算表</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六、一般公共预算财政拨款基本支出决算表</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七</w:t>
      </w:r>
      <w:r>
        <w:rPr>
          <w:rFonts w:ascii="仿宋" w:hAnsi="仿宋" w:eastAsia="仿宋" w:cs="仿宋_GB2312"/>
        </w:rPr>
        <w:t>、一般公共预算财政拨款“三公”经费支出决算表</w:t>
      </w:r>
    </w:p>
    <w:p>
      <w:pPr>
        <w:kinsoku w:val="0"/>
        <w:overflowPunct w:val="0"/>
        <w:adjustRightInd w:val="0"/>
        <w:snapToGrid w:val="0"/>
        <w:spacing w:line="360" w:lineRule="auto"/>
        <w:ind w:right="51" w:firstLine="537" w:firstLineChars="168"/>
        <w:jc w:val="left"/>
        <w:rPr>
          <w:rFonts w:ascii="仿宋" w:hAnsi="仿宋" w:eastAsia="仿宋" w:cs="仿宋"/>
          <w:color w:val="000000"/>
        </w:rPr>
      </w:pPr>
      <w:r>
        <w:rPr>
          <w:rFonts w:hint="eastAsia" w:ascii="仿宋" w:hAnsi="仿宋" w:eastAsia="仿宋" w:cs="仿宋_GB2312"/>
        </w:rPr>
        <w:t>八、政</w:t>
      </w:r>
      <w:r>
        <w:rPr>
          <w:rFonts w:hint="eastAsia" w:ascii="仿宋" w:hAnsi="仿宋" w:eastAsia="仿宋" w:cs="仿宋"/>
          <w:color w:val="000000"/>
        </w:rPr>
        <w:t>府性基金预算财政拨款收入支出决算表</w:t>
      </w:r>
    </w:p>
    <w:p>
      <w:pPr>
        <w:kinsoku w:val="0"/>
        <w:overflowPunct w:val="0"/>
        <w:adjustRightInd w:val="0"/>
        <w:snapToGrid w:val="0"/>
        <w:spacing w:line="360" w:lineRule="auto"/>
        <w:ind w:left="101" w:right="521" w:firstLine="482" w:firstLineChars="150"/>
        <w:rPr>
          <w:rFonts w:ascii="仿宋" w:hAnsi="仿宋" w:eastAsia="仿宋"/>
          <w:b/>
          <w:w w:val="99"/>
        </w:rPr>
      </w:pPr>
      <w:r>
        <w:rPr>
          <w:rFonts w:hint="eastAsia" w:ascii="仿宋" w:hAnsi="仿宋" w:eastAsia="仿宋" w:cs="黑体"/>
          <w:b/>
        </w:rPr>
        <w:t>第三部分  20</w:t>
      </w:r>
      <w:r>
        <w:rPr>
          <w:rFonts w:ascii="仿宋" w:hAnsi="仿宋" w:eastAsia="仿宋" w:cs="黑体"/>
          <w:b/>
        </w:rPr>
        <w:t>2</w:t>
      </w:r>
      <w:r>
        <w:rPr>
          <w:rFonts w:hint="eastAsia" w:ascii="仿宋" w:hAnsi="仿宋" w:eastAsia="仿宋" w:cs="黑体"/>
          <w:b/>
          <w:lang w:val="en-US" w:eastAsia="zh-CN"/>
        </w:rPr>
        <w:t>1</w:t>
      </w:r>
      <w:r>
        <w:rPr>
          <w:rFonts w:hint="eastAsia" w:ascii="仿宋" w:hAnsi="仿宋" w:eastAsia="仿宋" w:cs="黑体"/>
          <w:b/>
        </w:rPr>
        <w:t>年度部门决算情况说明</w:t>
      </w:r>
      <w:r>
        <w:rPr>
          <w:rFonts w:hint="eastAsia" w:ascii="仿宋" w:hAnsi="仿宋" w:eastAsia="仿宋" w:cs="黑体"/>
          <w:b/>
          <w:w w:val="99"/>
        </w:rPr>
        <w:t xml:space="preserve"> </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
          <w:color w:val="000000"/>
        </w:rPr>
        <w:t>一、收</w:t>
      </w:r>
      <w:r>
        <w:rPr>
          <w:rFonts w:hint="eastAsia" w:ascii="仿宋" w:hAnsi="仿宋" w:eastAsia="仿宋" w:cs="仿宋_GB2312"/>
        </w:rPr>
        <w:t>入支出决算总体情况说明</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二、收入决算情况说明</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 xml:space="preserve">三、支出决算情况说明 </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 xml:space="preserve">四、财政拨款收入支出决算总体情况说明 </w:t>
      </w:r>
    </w:p>
    <w:p>
      <w:pPr>
        <w:kinsoku w:val="0"/>
        <w:overflowPunct w:val="0"/>
        <w:adjustRightInd w:val="0"/>
        <w:snapToGrid w:val="0"/>
        <w:spacing w:line="360" w:lineRule="auto"/>
        <w:ind w:right="51" w:firstLine="537" w:firstLineChars="168"/>
        <w:jc w:val="left"/>
        <w:rPr>
          <w:rFonts w:ascii="仿宋" w:hAnsi="仿宋" w:eastAsia="仿宋" w:cs="仿宋"/>
          <w:color w:val="000000"/>
        </w:rPr>
      </w:pPr>
      <w:r>
        <w:rPr>
          <w:rFonts w:hint="eastAsia" w:ascii="仿宋" w:hAnsi="仿宋" w:eastAsia="仿宋" w:cs="仿宋_GB2312"/>
        </w:rPr>
        <w:t>五、一般</w:t>
      </w:r>
      <w:r>
        <w:rPr>
          <w:rFonts w:hint="eastAsia" w:ascii="仿宋" w:hAnsi="仿宋" w:eastAsia="仿宋" w:cs="仿宋"/>
          <w:color w:val="000000"/>
        </w:rPr>
        <w:t xml:space="preserve">公共预算财政拨款支出决算情况说明 </w:t>
      </w:r>
    </w:p>
    <w:p>
      <w:pPr>
        <w:kinsoku w:val="0"/>
        <w:overflowPunct w:val="0"/>
        <w:adjustRightInd w:val="0"/>
        <w:snapToGrid w:val="0"/>
        <w:spacing w:line="360" w:lineRule="auto"/>
        <w:ind w:right="51" w:firstLine="537" w:firstLineChars="168"/>
        <w:jc w:val="left"/>
        <w:rPr>
          <w:rFonts w:ascii="仿宋" w:hAnsi="仿宋" w:eastAsia="仿宋" w:cs="仿宋"/>
          <w:color w:val="000000"/>
        </w:rPr>
      </w:pPr>
      <w:r>
        <w:rPr>
          <w:rFonts w:hint="eastAsia" w:ascii="仿宋" w:hAnsi="仿宋" w:eastAsia="仿宋" w:cs="仿宋"/>
          <w:color w:val="000000"/>
        </w:rPr>
        <w:t xml:space="preserve">六、一般公共预算财政拨款基本支出决算情况说明 </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
          <w:color w:val="000000"/>
        </w:rPr>
        <w:t>七、一</w:t>
      </w:r>
      <w:r>
        <w:rPr>
          <w:rFonts w:hint="eastAsia" w:ascii="仿宋" w:hAnsi="仿宋" w:eastAsia="仿宋" w:cs="仿宋_GB2312"/>
        </w:rPr>
        <w:t xml:space="preserve">般公共预算财政拨款“三公”经费支出决算情况说明 </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 xml:space="preserve">八、预算绩效情况说明 </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 xml:space="preserve">九、政府性基金预算财政拨款支出决算情况说明 </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十、机关运行经费支出情况说明</w:t>
      </w:r>
    </w:p>
    <w:p>
      <w:pPr>
        <w:kinsoku w:val="0"/>
        <w:overflowPunct w:val="0"/>
        <w:adjustRightInd w:val="0"/>
        <w:snapToGrid w:val="0"/>
        <w:spacing w:line="360" w:lineRule="auto"/>
        <w:ind w:right="51" w:firstLine="537" w:firstLineChars="168"/>
        <w:jc w:val="left"/>
        <w:rPr>
          <w:rFonts w:ascii="仿宋" w:hAnsi="仿宋" w:eastAsia="仿宋" w:cs="仿宋_GB2312"/>
        </w:rPr>
      </w:pPr>
      <w:r>
        <w:rPr>
          <w:rFonts w:hint="eastAsia" w:ascii="仿宋" w:hAnsi="仿宋" w:eastAsia="仿宋" w:cs="仿宋_GB2312"/>
        </w:rPr>
        <w:t>十一、政府采购支出情况说明</w:t>
      </w:r>
    </w:p>
    <w:p>
      <w:pPr>
        <w:kinsoku w:val="0"/>
        <w:overflowPunct w:val="0"/>
        <w:adjustRightInd w:val="0"/>
        <w:snapToGrid w:val="0"/>
        <w:spacing w:line="360" w:lineRule="auto"/>
        <w:ind w:right="51" w:firstLine="537" w:firstLineChars="168"/>
        <w:jc w:val="left"/>
        <w:rPr>
          <w:rFonts w:ascii="仿宋" w:hAnsi="仿宋" w:eastAsia="仿宋" w:cs="仿宋"/>
          <w:color w:val="000000"/>
        </w:rPr>
      </w:pPr>
      <w:r>
        <w:rPr>
          <w:rFonts w:hint="eastAsia" w:ascii="仿宋" w:hAnsi="仿宋" w:eastAsia="仿宋" w:cs="仿宋_GB2312"/>
        </w:rPr>
        <w:t>十二、国</w:t>
      </w:r>
      <w:r>
        <w:rPr>
          <w:rFonts w:hint="eastAsia" w:ascii="仿宋" w:hAnsi="仿宋" w:eastAsia="仿宋" w:cs="仿宋"/>
          <w:color w:val="000000"/>
        </w:rPr>
        <w:t xml:space="preserve">有资产占用情况说明 </w:t>
      </w:r>
    </w:p>
    <w:p>
      <w:pPr>
        <w:ind w:firstLine="643"/>
        <w:jc w:val="left"/>
        <w:rPr>
          <w:rFonts w:ascii="仿宋" w:hAnsi="仿宋" w:eastAsia="仿宋" w:cs="仿宋"/>
          <w:color w:val="000000"/>
        </w:rPr>
      </w:pPr>
      <w:r>
        <w:rPr>
          <w:rFonts w:hint="eastAsia" w:ascii="仿宋" w:hAnsi="仿宋" w:eastAsia="仿宋" w:cs="黑体"/>
          <w:b/>
        </w:rPr>
        <w:t>第四部分</w:t>
      </w:r>
      <w:r>
        <w:rPr>
          <w:rFonts w:hint="eastAsia" w:ascii="仿宋" w:hAnsi="仿宋" w:eastAsia="仿宋" w:cs="黑体"/>
          <w:b/>
          <w:spacing w:val="-32"/>
        </w:rPr>
        <w:t xml:space="preserve">  </w:t>
      </w:r>
      <w:r>
        <w:rPr>
          <w:rFonts w:hint="eastAsia" w:ascii="仿宋" w:hAnsi="仿宋" w:eastAsia="仿宋" w:cs="黑体"/>
          <w:b/>
        </w:rPr>
        <w:t>名词解释</w:t>
      </w:r>
    </w:p>
    <w:p>
      <w:pPr>
        <w:adjustRightInd w:val="0"/>
        <w:snapToGrid w:val="0"/>
        <w:spacing w:line="360" w:lineRule="auto"/>
        <w:ind w:firstLine="0" w:firstLineChars="0"/>
        <w:jc w:val="center"/>
        <w:rPr>
          <w:rFonts w:ascii="仿宋" w:hAnsi="仿宋" w:eastAsia="仿宋" w:cs="黑体"/>
        </w:rPr>
      </w:pPr>
      <w:r>
        <w:rPr>
          <w:rFonts w:ascii="仿宋" w:hAnsi="仿宋" w:eastAsia="仿宋" w:cs="黑体"/>
        </w:rPr>
        <w:br w:type="page"/>
      </w:r>
    </w:p>
    <w:p>
      <w:pPr>
        <w:adjustRightInd w:val="0"/>
        <w:snapToGrid w:val="0"/>
        <w:spacing w:line="360" w:lineRule="auto"/>
        <w:ind w:firstLine="0" w:firstLineChars="0"/>
        <w:jc w:val="center"/>
        <w:rPr>
          <w:rFonts w:ascii="仿宋" w:hAnsi="仿宋" w:eastAsia="仿宋" w:cs="黑体"/>
        </w:rPr>
      </w:pPr>
    </w:p>
    <w:p>
      <w:pPr>
        <w:adjustRightInd w:val="0"/>
        <w:snapToGrid w:val="0"/>
        <w:spacing w:line="360" w:lineRule="auto"/>
        <w:ind w:firstLine="0" w:firstLineChars="0"/>
        <w:jc w:val="center"/>
        <w:rPr>
          <w:rFonts w:ascii="仿宋" w:hAnsi="仿宋" w:eastAsia="仿宋" w:cs="黑体"/>
        </w:rPr>
      </w:pPr>
    </w:p>
    <w:p>
      <w:pPr>
        <w:adjustRightInd w:val="0"/>
        <w:snapToGrid w:val="0"/>
        <w:spacing w:line="360" w:lineRule="auto"/>
        <w:ind w:firstLine="0" w:firstLineChars="0"/>
        <w:jc w:val="center"/>
        <w:rPr>
          <w:rFonts w:ascii="仿宋" w:hAnsi="仿宋" w:eastAsia="仿宋" w:cs="黑体"/>
        </w:rPr>
      </w:pPr>
    </w:p>
    <w:p>
      <w:pPr>
        <w:adjustRightInd w:val="0"/>
        <w:snapToGrid w:val="0"/>
        <w:spacing w:line="360" w:lineRule="auto"/>
        <w:ind w:firstLine="0" w:firstLineChars="0"/>
        <w:jc w:val="center"/>
        <w:rPr>
          <w:rFonts w:ascii="仿宋" w:hAnsi="仿宋" w:eastAsia="仿宋" w:cs="黑体"/>
        </w:rPr>
      </w:pPr>
    </w:p>
    <w:p>
      <w:pPr>
        <w:adjustRightInd w:val="0"/>
        <w:snapToGrid w:val="0"/>
        <w:spacing w:line="360" w:lineRule="auto"/>
        <w:ind w:firstLine="0" w:firstLineChars="0"/>
        <w:jc w:val="center"/>
        <w:rPr>
          <w:rFonts w:ascii="仿宋" w:hAnsi="仿宋" w:eastAsia="仿宋" w:cs="黑体"/>
        </w:rPr>
      </w:pPr>
    </w:p>
    <w:p>
      <w:pPr>
        <w:adjustRightInd w:val="0"/>
        <w:snapToGrid w:val="0"/>
        <w:spacing w:line="360" w:lineRule="auto"/>
        <w:ind w:firstLine="0" w:firstLineChars="0"/>
        <w:jc w:val="center"/>
        <w:rPr>
          <w:rFonts w:ascii="仿宋" w:hAnsi="仿宋" w:eastAsia="仿宋" w:cs="黑体"/>
        </w:rPr>
      </w:pPr>
    </w:p>
    <w:p>
      <w:pPr>
        <w:adjustRightInd w:val="0"/>
        <w:snapToGrid w:val="0"/>
        <w:spacing w:line="240" w:lineRule="auto"/>
        <w:ind w:firstLine="0" w:firstLineChars="0"/>
        <w:jc w:val="center"/>
        <w:rPr>
          <w:rFonts w:ascii="黑体" w:hAnsi="黑体" w:eastAsia="黑体"/>
          <w:sz w:val="48"/>
          <w:szCs w:val="48"/>
        </w:rPr>
      </w:pPr>
      <w:r>
        <w:rPr>
          <w:rFonts w:hint="eastAsia" w:ascii="黑体" w:hAnsi="黑体" w:eastAsia="黑体" w:cs="黑体"/>
          <w:sz w:val="48"/>
          <w:szCs w:val="48"/>
        </w:rPr>
        <w:t>第一部分</w:t>
      </w:r>
    </w:p>
    <w:p>
      <w:pPr>
        <w:adjustRightInd w:val="0"/>
        <w:snapToGrid w:val="0"/>
        <w:spacing w:line="24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三门峡市自然资源和规划局概况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left"/>
        <w:textAlignment w:val="auto"/>
        <w:rPr>
          <w:rFonts w:ascii="黑体" w:hAnsi="黑体" w:eastAsia="黑体" w:cs="黑体"/>
          <w:b/>
          <w:bCs/>
          <w:color w:val="000000"/>
        </w:rPr>
      </w:pPr>
      <w:r>
        <w:rPr>
          <w:rFonts w:ascii="黑体" w:hAnsi="黑体" w:eastAsia="黑体" w:cs="黑体"/>
          <w:b/>
          <w:bCs/>
          <w:color w:val="000000"/>
        </w:rPr>
        <w:br w:type="page"/>
      </w:r>
      <w:r>
        <w:rPr>
          <w:rFonts w:hint="eastAsia" w:ascii="黑体" w:hAnsi="黑体" w:eastAsia="黑体" w:cs="黑体"/>
          <w:b w:val="0"/>
          <w:bCs w:val="0"/>
          <w:color w:val="000000"/>
        </w:rPr>
        <w:t>一、部门职责</w:t>
      </w:r>
    </w:p>
    <w:p>
      <w:pPr>
        <w:spacing w:line="580" w:lineRule="exact"/>
        <w:ind w:firstLine="640"/>
        <w:rPr>
          <w:rFonts w:ascii="仿宋" w:hAnsi="仿宋" w:eastAsia="仿宋"/>
        </w:rPr>
      </w:pPr>
      <w:r>
        <w:rPr>
          <w:rFonts w:hint="eastAsia" w:ascii="仿宋" w:hAnsi="仿宋" w:eastAsia="仿宋"/>
        </w:rPr>
        <w:t>三门峡市自然资源和规划局贯彻落实党中央关于自然资源工作的方针政策和决策部署，在履行职责过程中坚持和加强党对自然资源工作的集中统一领导。主要职责是：</w:t>
      </w:r>
    </w:p>
    <w:p>
      <w:pPr>
        <w:widowControl/>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一）履行全市全民所有土地、矿产、森林、草原、湿地、水等自然资源资产所有者职责和所有国土空间用途管制职责。贯彻落实自然资源和国土空间规划及测绘等地方性法规和规章，拟定城乡规划地方性法规和草案。监督检查自然资源和国土空间规划及测绘等法律法规的执行情况。</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二）负责全市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指导全市自然资源调查监测评价工作。</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指导监督全市自然资源和不动产确权登记工作。</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四）负责全市自然资源资产有偿使用工作。贯彻执行全民所有自然资源资产统计制度，负责全民所有自然资源资产核算。负责编制全民所有自然资源资产负债表，拟订考核标准。组织实施全民所有自然资源资产划拨、出让、租赁、作价出资，拟订土地储备政策并监督实施，合理配置全民所有自然资源资产。负责自然资源资产价值评估管理，依法收缴相关资产收益。</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五）负责全市自然资源的合理开发利用。组织拟订自然资源发展规划，贯彻执行国家和省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六）负责建立全市空间规划体系并监督实施。落实主体功能区战略和制度；组织编制国土空间规划和相关专项规划并监督实施；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定城乡规划政策并监督实施。指导各县（市）乡（镇）规划和村庄规划编制和实施。承担历史文化名镇、名村相关的审查报批和保护监督工作。组织拟订并实施土地等自然资源年度利用计划。负责土地等国土空间用途转用工作。负责土地征收征用管理。</w:t>
      </w:r>
    </w:p>
    <w:p>
      <w:pPr>
        <w:wordWrap/>
        <w:adjustRightInd w:val="0"/>
        <w:snapToGrid w:val="0"/>
        <w:spacing w:line="360" w:lineRule="auto"/>
        <w:ind w:firstLine="640" w:firstLineChars="200"/>
        <w:textAlignment w:val="auto"/>
        <w:rPr>
          <w:rFonts w:ascii="仿宋" w:hAnsi="仿宋" w:eastAsia="仿宋"/>
          <w:b/>
          <w:color w:val="000000"/>
        </w:rPr>
      </w:pPr>
      <w:r>
        <w:rPr>
          <w:rFonts w:hint="eastAsia" w:ascii="仿宋" w:hAnsi="仿宋" w:eastAsia="仿宋"/>
          <w:color w:val="000000"/>
        </w:rPr>
        <w:t>（七）具体承担市辖区城乡规划管理职责。负责中心城区控制性详细规划、重要地段城市设计和修建性详细规划的编制、报批和实施工作；负责城市规划区内建设项目的选址、用地规划、工程规划审批及批后管理，核发建设项目选址意见书、建设用地规划许可证、建设工程规划许可证；负责市辖区的村镇规划管理工作，核发乡村建设规划许可证。</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八）负责统筹全市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九）负责组织实施最严格的耕地保护制度。落实国家耕地保护政策，负责耕地数量、质量、生态保护。组织实施耕地保护责任目标考核和永久基本农田特殊保护。完善耕地占补平衡制度，监督占用耕地补偿制度执行情况。</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（十）负责管理全市地质勘查和地质工作。编制地质勘查规划并监督检查执行情况。管理市财政出资的地质勘查项目。监督管理地下水过量开采及引发的地面沉降等地质问题。负责古生物化石的监督管理。</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十一）承担全市地质灾害预防和治理。落实全市综合防灾减灾规划相关要求，编制地质灾害防治规划和防护标准并指导实施。管理市财政出资的地质灾害预防和治理项目。组织指导协调和监督地质灾害调查评价及隐患的普查、详查、排查。指导开展群测群防、专业监测和预报预警等工作，指导开展地质灾害工程治理工作。管理地质灾害相关资质。承担地质灾害应急救援的技术支撑工作。</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（十二）负责全市矿业权管理工作。负责矿业权出让及审批登记管理。指导全市矿业权审批登记工作，调处矿业权重大权属纠纷。会同有关部门承担保护性开采矿种的总量调控及相关管理工作。</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（十三）负责全市矿产资源保护与监督工作。拟订全市矿产资源政策和规划并组织实施。负责矿产资源储量管理，负责压覆矿产资源审批。监督指导矿产资源合理利用和保护。监督指导地质资料管理。</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十四）负责全市测绘地理信息管理工作。负责基础测绘、地理国情监测及测绘行业管理。负责测绘资质资格与信用管理，监督管理地理信息安全和市场秩序。负责地理信息公共服务管理。负责测量标志保护。会同有关部门规范和监管卫星导航定位基准站的建设及运行维护。</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十五）推动全市自然资源和规划领域科技发展。制定并实施自然资源和规划领域科技创新发展、人才培养规划和计划。贯彻执行技术标准、规程规范并监督实施。组织实施重大科技工程及创新能力建设，推进自然资源和规划信息化与信息资料的公共服务。开展全市自然资源和规划领域对外合作。</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十六）根据市委、市政府授权或国家和省自然资源督察机构安排，对县（市）区人民政府落实党中央、国务院和省委、省政府以及市委、市政府关于自然资源和国土空间规划的重大方针政策、决策部署及法律法规执行情况进行督察。查处自然资源开发利用和国土空间规划及测绘重大违法案件。</w:t>
      </w:r>
    </w:p>
    <w:p>
      <w:pPr>
        <w:wordWrap/>
        <w:adjustRightInd w:val="0"/>
        <w:snapToGrid w:val="0"/>
        <w:spacing w:line="360" w:lineRule="auto"/>
        <w:ind w:firstLine="640" w:firstLineChars="200"/>
        <w:textAlignment w:val="auto"/>
        <w:rPr>
          <w:rFonts w:ascii="仿宋" w:hAnsi="仿宋" w:eastAsia="仿宋"/>
          <w:color w:val="000000"/>
        </w:rPr>
      </w:pPr>
      <w:r>
        <w:rPr>
          <w:rFonts w:hint="eastAsia" w:ascii="仿宋" w:hAnsi="仿宋" w:eastAsia="仿宋"/>
          <w:color w:val="000000"/>
        </w:rPr>
        <w:t>（十七）承担市城乡规划委员会及市自然资源管理委员会日常工作。</w:t>
      </w:r>
    </w:p>
    <w:p>
      <w:pPr>
        <w:wordWrap/>
        <w:adjustRightInd w:val="0"/>
        <w:snapToGrid w:val="0"/>
        <w:spacing w:line="360" w:lineRule="auto"/>
        <w:ind w:firstLine="640" w:firstLineChars="200"/>
        <w:textAlignment w:val="auto"/>
        <w:rPr>
          <w:rFonts w:hint="eastAsia" w:ascii="仿宋" w:hAnsi="仿宋" w:eastAsia="仿宋"/>
          <w:color w:val="000000"/>
        </w:rPr>
      </w:pPr>
      <w:r>
        <w:rPr>
          <w:rFonts w:hint="eastAsia" w:ascii="仿宋" w:hAnsi="仿宋" w:eastAsia="仿宋"/>
          <w:color w:val="000000"/>
        </w:rPr>
        <w:t>（十八）完成市委、市政府交办的其他任务。</w:t>
      </w:r>
    </w:p>
    <w:p>
      <w:pPr>
        <w:wordWrap/>
        <w:adjustRightInd w:val="0"/>
        <w:snapToGrid w:val="0"/>
        <w:spacing w:line="360" w:lineRule="auto"/>
        <w:ind w:firstLine="640" w:firstLineChars="200"/>
        <w:textAlignment w:val="auto"/>
        <w:rPr>
          <w:rFonts w:hint="eastAsia" w:ascii="黑体" w:hAnsi="黑体" w:eastAsia="黑体" w:cs="黑体"/>
          <w:b w:val="0"/>
          <w:bCs w:val="0"/>
          <w:kern w:val="0"/>
        </w:rPr>
      </w:pPr>
      <w:r>
        <w:rPr>
          <w:rFonts w:hint="eastAsia" w:ascii="黑体" w:hAnsi="黑体" w:eastAsia="黑体" w:cs="黑体"/>
          <w:b w:val="0"/>
          <w:bCs w:val="0"/>
          <w:kern w:val="0"/>
        </w:rPr>
        <w:t>二、机构设置</w:t>
      </w:r>
    </w:p>
    <w:p>
      <w:pPr>
        <w:wordWrap/>
        <w:adjustRightInd w:val="0"/>
        <w:snapToGrid w:val="0"/>
        <w:spacing w:line="360" w:lineRule="auto"/>
        <w:ind w:firstLine="620" w:firstLineChars="200"/>
        <w:textAlignment w:val="auto"/>
        <w:rPr>
          <w:rFonts w:hint="eastAsia" w:ascii="仿宋_GB2312" w:hAnsi="微软雅黑" w:eastAsia="仿宋_GB2312" w:cs="仿宋_GB2312"/>
          <w:i w:val="0"/>
          <w:iCs w:val="0"/>
          <w:caps w:val="0"/>
          <w:color w:val="000000"/>
          <w:spacing w:val="0"/>
          <w:kern w:val="0"/>
          <w:sz w:val="31"/>
          <w:szCs w:val="31"/>
          <w:lang w:val="en-US" w:eastAsia="zh-CN" w:bidi="ar-SA"/>
        </w:rPr>
      </w:pPr>
      <w:r>
        <w:rPr>
          <w:rFonts w:hint="eastAsia" w:ascii="仿宋_GB2312" w:hAnsi="微软雅黑" w:eastAsia="仿宋_GB2312" w:cs="仿宋_GB2312"/>
          <w:i w:val="0"/>
          <w:iCs w:val="0"/>
          <w:caps w:val="0"/>
          <w:color w:val="000000"/>
          <w:spacing w:val="0"/>
          <w:kern w:val="0"/>
          <w:sz w:val="31"/>
          <w:szCs w:val="31"/>
          <w:lang w:val="en-US" w:eastAsia="zh-CN" w:bidi="ar-SA"/>
        </w:rPr>
        <w:t>市自然资源和规划局设21个内设机构:</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31"/>
          <w:szCs w:val="31"/>
        </w:rPr>
        <w:t>（</w:t>
      </w:r>
      <w:r>
        <w:rPr>
          <w:rFonts w:hint="eastAsia" w:ascii="仿宋_GB2312" w:hAnsi="微软雅黑" w:eastAsia="仿宋_GB2312" w:cs="仿宋_GB2312"/>
          <w:i w:val="0"/>
          <w:iCs w:val="0"/>
          <w:caps w:val="0"/>
          <w:color w:val="000000"/>
          <w:spacing w:val="0"/>
          <w:sz w:val="31"/>
          <w:szCs w:val="31"/>
        </w:rPr>
        <w:t>一）办公室</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机关日常运转工作。承担文电、会务、机要、安全保密、档案、史志年鉴以及新闻宣传、政务信息、政务公开、信息化等工作；承担组织编制全市自然资源发展中长期规划和年度计划工作；开展重大问题调查研究，负责起草重要文件文稿，协调全市自然资源和规划领域综合改革有关工作；承担全市自然资源和规划领域军民融合深度发展工作；承担综合统计和专业统计相关工作；对贯彻落实国家和省、市重大决策部署、领导批示的重大事项落实情况进行督查督办。</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（二）政策法规科（信访办公室）</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拟订城乡规划地方性法规、规章草案，协调有关立法工作；承担有关规范性文件的合法性审查和清理工作；推进全市自然资源和规划系统法治建设，组织开展法治宣传教育；承担行政复议、行政应诉有关工作；负责受理群众来信、接待群众来访，为来信来访群众提供有关法律、法规和政策咨询服务；交办、转送及协调处理重要信访事项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（三）自然资源调查监测与科技科（测绘地理信息管理科）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彻执行国家自然资源调查监测评价的指标体系和统计标准，建立自然资源调查监测评价制度；定期组织实施全市性自然资源基础调查、变更调查、动态监测和分析评价；组织开展全市土地、矿产、水、森林、草原、湿地资源和地理国情等专项调查监测评价工作；承担全市自然资源调查监测评价成果的汇交、管理、维护、发布、共享和利用监督；拟订全市自然资源和规划领域科技创新发展规划、计划。贯彻落实有关技术标准、规程规范；组织实施全市自然资源和规划科研项目；承担科技成果管理及科学技术普及工作；开展卫星遥感等高新技术体系建设；拟订全市自然资源和规划领域对外交流合作计划并组织实施；拟订全市基础测绘规划；规范和监管全市卫星导航定位基准站的建设；贯彻执行测绘行业管理政策，监督管理测绘活动、质量，管理测绘资质资格；贯彻执行地理信息安全保密政策；负责地理信息成果管理和测量标志保护，审核全市重要地理信息数据；负责地理信息成果管理和测量标志保护，审核全市重要地理信息数据；负责地图管理，开展国家版图意识宣传教育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（四）三门峡市自然资源确权登记局。</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实施国家各类自然资源和不动产统一确权登记、权籍调查、不动产测绘、争议调处、成果应用的制度、标准、规范；承担指导监督全市自然资源和不动产确权登记工作；建立健全全市自然资源和不动产信息管理基础平台，管理登记资料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（五）自然资源所有者权益科（审计科）。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完善和落实全民所有自然资源资产管理政策和统计制度，组织自然资源资产价值评估和资产核算工作；编制全市全民所有自然资源资产负债表，拟订相关考核标准；组织拟订全市全民所有自然资源资产划拔、出让、租赁、作价出资和土地储备政策；承担报市政府审批的改制企业的国有土地资产处置工作；负责内部审计相关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（六）自然资源开发利用科。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健全自然资源资产有偿使用制度和市场交易规则并组织实施，依法依规对自然资源交易平台和交易活动进行监管，组织开展自然资源市场调控；负责全市自然资源市场监督管理和动态监测，建立自然资源市场信用体系；建立和完善政府自然资源价格体系和公示制度；组织开展自然资源分等定级价格评估；完善自然资源开发利用标准，开展评价考核，指导节约集约利用工作；负责城市规划区内建设项目的用地规划管理工作；依据城市规划，拟订国有出让用地和划拨土地用地规划条件，核发建设用地规划许可证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（七）国土空间规划科。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拟订全市国土空间规划相关政策，承担建立全市空间规划体系工作并监督实施；负责生态保护红线、永久基本农田、城镇开发边界等重要控制线统筹划定工作并监督实施；开展国土空间开发适宜性评价，推进落实主体功能区战略和制度；组织编制全市国土空间规划和相关专项规划并监督实施；承担国土空间规划的审核报批及成果管理工作，指导和审核涉及国土空间开发利用的市重大专项规划。负责规划设计单位的资质和规划设计市场管理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（八）城市规划科。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城市专项规划、控制性详细规划的编制、报批工作；负责风景名胜区的总体规划和控制性详细规划的编制、报批工作；负责建设项目用地规划选址，核发建设项目选址意见书；负责城市新区开发、旧城改造及“城中村”改造规划工作；负责城市“绿线”“黄线”“紫线”“蓝线”的划定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（九）村镇规划科。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全市村镇规划管理工作，指导和监督各县（市）、镇（乡）规划和村庄规划编制与实施工作，负责市辖区的村镇规划管理工作，核发乡村建设规划许可证；组织市辖区所属乡（镇、街道）的规划编制、实施和报批工作；承担历史文化名镇、名村规划的审查报批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（十）规划实施管理科。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建筑工程的规划许可工作；负责临时性建筑物、建筑工程外装修、城市夜景灯光照明、户外广告设施、城市雕塑和小品等工程的规划管理；负责城市市政交通工程、地上和地下各类管线工程及其他市政基础设施工程的规划许可；负责核发建设工程规划许可证；负责建设项目的验线及规划核实工作；参与城市市政基础设施和管线工程的专项规划编制，并制定年度实施计划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（十一）国土空间用途管制科。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拟订全市国土空间用途管制制度规范和技木标准并监管实施；负责全市土地等自然资源年度利用计划管理工作；承担各类土地用途转用的审核报批工作；开展建设项目用地预审工作；指导各县（市、区）开展城乡建设用地增减挂钩、工矿废弃地复垦利用管理工作；拟订城乡规划管理等用途管制政策并监督实施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（十二）国土空间生态修复科。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承担国土空间生态修复政策研究及拟订工作，组织拟订实施市级国土空间生态修复规划；承担国土空间综合整治、土地整理复垦、矿山地质环境恢复治理等工作；承担生态保护补偿相关工作；指导全市国土空间生态修复工作；制定合理利用社会资金进行生态修复的政策措施，提出重大备选项目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（十三）耕地保护监督科。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拟订并实施全市耕地保护政策，组织实施全市耕地保护责任目标考核；负责永久基本农田划定、占用和补划的监督工作；负责落实耕地占补平衡管理工作；承担土地征收征用管理工作；负责耕地保护政策与林地、草地、湿地等土地资源保护政 策的衔接工作。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（十四）地质勘查和资源保护监督科。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管理全市地质勘查和地质工作，编制全市地质勘查规划并监督检查执行情况；管理市级地质勘查项目；承担全市地质灾害的预防和治理工作；编制全市地质灾害规划并监督检查执行情况；管理市财政出资的地质灾害预防和冶理项目；配合管理地质灾害相关资质；监督管理地下水过量开采及引发的地面沉降等地质问题；组织实施国家地质勘查、地质灾害防治工作标准、规程和规范。拟订全市矿产资源政策、规划并组织实施；监督指导矿产资源合理利用和保护，监督指导全市绿色矿山建设工作；承担矿产资源储量评审、备案、登记、统计和信息发布及压覆矿产资源审批管理、矿产地储备工作；实施矿山储量动态管理，建矿产资源安全监测预警体系；监督地质资料汇交、保管和利用；监督管理古生物化石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（十五）矿业权管理科。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拟订全市矿业权管理政策制度并组织实施；管理矿业权的出让及审批登记；统计分析并指导全市矿业权审批登记，调处重大矿业权的权属纠纷；承担保护性开采的特定矿种、优势矿产的开采总量控制管理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（十六）重点项目建设自然资源保障协调办公室（市城乡规划委员会办公室秘书科、市自然资源管理委员会办公室秘书科）。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督促推进全市重点项目建设自然资源要素保障工作，协调解决重点项目建设自然资源要素保障重大问题；监督检查重点项目建设自然资源要素保障责任制落实；监测分析重点项目建设自然资源要素保障态势；建立完善市重点项目建设自然资源要素 保障协调工作机制；承担市城乡规划委员会办公室和市自然资源管理委员会办公室的日常工作；负责组织城乡规划业务例会；研究分析、综合协调自然资源和规划管理工作中相关重大技术问题。</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（十七）自然资源和规划执法监督局（三门峡市自然资源督察办公室）。</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负责拟订全市自然资源督察标准规范；负责市级自然资源开发利用和国土空间规划及测绘重大违法事项和重大案件的 调查处理，组织协调跨区域违法案件查处工作和12336热线工作；指导全市自然资源执法机构和队伍建设；开展执法稽查和业务培训；拟订市自然资源督察相关制度和工作规则，落实国家自然资源督察机构工作部署，配合国家和省自然资源督察机构开展督察工作；根据授权，承担对全市自然资源和国土空间规划等法律、法规执行情况的监督检查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（十八）政务服务科。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负责贯彻落实国家和省、市行政审批制度改革和政务服务有关政策，负责本部门行政审批制度改革工作；牵头协调并负责 统一办理本部门全部政务服务工作；负责本部门政务服务信息数 据管理、共享工作。指导本系统政务服务及政务服务信息数据管理、共享工作。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（十九）财务科。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负责承担全市自然资源专项收入征管和专项资金、基金的管理工作；拟订有关财务、资产管理的规章制度，负责机关、直属单位和派出机构财务及国有资产监管；承担财政和社会资金的结构优化和监测工作。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（二十）人事科。</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负责承担机关、直属单位和派出机构的人事、机构编制、劳动工资和教育培训工作；指导全市自然资源人才队伍建设等工作。负责离退休干部工作。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rPr>
        <w:t>（二十一）机关党委。</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20" w:firstLineChars="200"/>
        <w:jc w:val="both"/>
        <w:textAlignment w:val="auto"/>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rPr>
        <w:t>负责承担机关、直属单位和派出机构的党群工作。</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 w:hAnsi="仿宋" w:eastAsia="仿宋" w:cs="仿宋"/>
          <w:color w:val="000000"/>
          <w:kern w:val="0"/>
          <w:sz w:val="31"/>
          <w:szCs w:val="31"/>
          <w:lang w:val="en-US" w:eastAsia="zh-CN"/>
        </w:rPr>
        <w:t>2021年</w:t>
      </w:r>
      <w:r>
        <w:rPr>
          <w:rFonts w:hint="eastAsia" w:ascii="仿宋_GB2312" w:hAnsi="仿宋_GB2312" w:eastAsia="仿宋_GB2312" w:cs="仿宋_GB2312"/>
          <w:kern w:val="0"/>
          <w:sz w:val="32"/>
          <w:szCs w:val="32"/>
          <w:lang w:val="en-US" w:eastAsia="zh-CN"/>
        </w:rPr>
        <w:t>度纳入</w:t>
      </w:r>
      <w:r>
        <w:rPr>
          <w:rFonts w:hint="eastAsia" w:ascii="仿宋_GB2312" w:hAnsi="仿宋_GB2312" w:eastAsia="仿宋_GB2312" w:cs="仿宋_GB2312"/>
          <w:kern w:val="0"/>
          <w:sz w:val="32"/>
          <w:szCs w:val="32"/>
        </w:rPr>
        <w:t>市自然资源和规划局部门预算包括局机关本级预算和所属事业单位预算</w:t>
      </w:r>
      <w:r>
        <w:rPr>
          <w:rFonts w:hint="eastAsia" w:ascii="仿宋_GB2312" w:hAnsi="仿宋_GB2312" w:eastAsia="仿宋_GB2312" w:cs="仿宋_GB2312"/>
          <w:kern w:val="0"/>
          <w:sz w:val="32"/>
          <w:szCs w:val="32"/>
          <w:lang w:val="en-US" w:eastAsia="zh-CN"/>
        </w:rPr>
        <w:t>,具体是：</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1、三门峡市自然资源和规划局机关本级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2、三门峡市矿业开发中心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3、三门峡市市土地开发储备整理中心</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4、三门峡市城乡规划监察支队</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5、三门峡市国土资源执法监察大队</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6、三门峡市不动产登记中心</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7、三门峡市城乡规划中心</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8、三门峡市经济开发区自然资源和规划服务中心</w:t>
      </w:r>
    </w:p>
    <w:p>
      <w:pPr>
        <w:pStyle w:val="8"/>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9、三门峡市城乡一体化示范区自然资源和规划服务中心</w:t>
      </w:r>
    </w:p>
    <w:p>
      <w:pPr>
        <w:kinsoku w:val="0"/>
        <w:overflowPunct w:val="0"/>
        <w:adjustRightInd w:val="0"/>
        <w:snapToGrid w:val="0"/>
        <w:spacing w:line="240" w:lineRule="auto"/>
        <w:ind w:firstLine="0" w:firstLineChars="0"/>
        <w:jc w:val="both"/>
        <w:rPr>
          <w:rFonts w:ascii="黑体" w:hAnsi="黑体" w:eastAsia="黑体" w:cs="黑体"/>
          <w:sz w:val="48"/>
          <w:szCs w:val="48"/>
        </w:rPr>
      </w:pPr>
    </w:p>
    <w:p>
      <w:pPr>
        <w:kinsoku w:val="0"/>
        <w:overflowPunct w:val="0"/>
        <w:adjustRightInd w:val="0"/>
        <w:snapToGrid w:val="0"/>
        <w:spacing w:line="240" w:lineRule="auto"/>
        <w:ind w:firstLine="0" w:firstLineChars="0"/>
        <w:jc w:val="center"/>
        <w:rPr>
          <w:rFonts w:ascii="黑体" w:hAnsi="黑体" w:eastAsia="黑体" w:cs="黑体"/>
          <w:sz w:val="48"/>
          <w:szCs w:val="48"/>
        </w:rPr>
      </w:pPr>
      <w:r>
        <w:rPr>
          <w:rFonts w:hint="eastAsia" w:ascii="黑体" w:hAnsi="黑体" w:eastAsia="黑体" w:cs="黑体"/>
          <w:sz w:val="48"/>
          <w:szCs w:val="48"/>
        </w:rPr>
        <w:br w:type="page"/>
      </w:r>
      <w:r>
        <w:rPr>
          <w:rFonts w:hint="eastAsia" w:ascii="黑体" w:hAnsi="黑体" w:eastAsia="黑体" w:cs="黑体"/>
          <w:sz w:val="48"/>
          <w:szCs w:val="48"/>
        </w:rPr>
        <w:t>第二部分</w:t>
      </w:r>
    </w:p>
    <w:p>
      <w:pPr>
        <w:kinsoku w:val="0"/>
        <w:overflowPunct w:val="0"/>
        <w:adjustRightInd w:val="0"/>
        <w:snapToGrid w:val="0"/>
        <w:spacing w:line="240" w:lineRule="auto"/>
        <w:ind w:firstLine="0" w:firstLineChars="0"/>
        <w:jc w:val="center"/>
        <w:rPr>
          <w:rFonts w:ascii="仿宋" w:hAnsi="仿宋" w:eastAsia="仿宋" w:cs="黑体"/>
        </w:rPr>
      </w:pPr>
      <w:r>
        <w:rPr>
          <w:rFonts w:hint="eastAsia" w:ascii="黑体" w:hAnsi="黑体" w:eastAsia="黑体" w:cs="黑体"/>
          <w:sz w:val="48"/>
          <w:szCs w:val="48"/>
        </w:rPr>
        <w:t>20</w:t>
      </w:r>
      <w:r>
        <w:rPr>
          <w:rFonts w:ascii="黑体" w:hAnsi="黑体" w:eastAsia="黑体" w:cs="黑体"/>
          <w:sz w:val="48"/>
          <w:szCs w:val="48"/>
        </w:rPr>
        <w:t>2</w:t>
      </w:r>
      <w:r>
        <w:rPr>
          <w:rFonts w:hint="eastAsia" w:ascii="黑体" w:hAnsi="黑体" w:eastAsia="黑体" w:cs="黑体"/>
          <w:sz w:val="48"/>
          <w:szCs w:val="48"/>
          <w:lang w:val="en-US" w:eastAsia="zh-CN"/>
        </w:rPr>
        <w:t>1</w:t>
      </w:r>
      <w:r>
        <w:rPr>
          <w:rFonts w:hint="eastAsia" w:ascii="黑体" w:hAnsi="黑体" w:eastAsia="黑体" w:cs="黑体"/>
          <w:sz w:val="48"/>
          <w:szCs w:val="48"/>
        </w:rPr>
        <w:t>年度部门决算表</w:t>
      </w: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ind w:firstLine="640"/>
        <w:jc w:val="left"/>
        <w:rPr>
          <w:rFonts w:ascii="仿宋" w:hAnsi="仿宋" w:eastAsia="仿宋" w:cs="仿宋"/>
          <w:color w:val="000000"/>
        </w:rPr>
      </w:pPr>
      <w:r>
        <w:rPr>
          <w:rFonts w:hint="eastAsia" w:ascii="仿宋" w:hAnsi="仿宋" w:eastAsia="仿宋" w:cs="仿宋"/>
          <w:color w:val="000000"/>
        </w:rPr>
        <w:t>一、收入支出决算总表</w:t>
      </w:r>
    </w:p>
    <w:p>
      <w:pPr>
        <w:ind w:firstLine="640"/>
        <w:jc w:val="left"/>
        <w:rPr>
          <w:rFonts w:ascii="仿宋" w:hAnsi="仿宋" w:eastAsia="仿宋" w:cs="仿宋"/>
          <w:color w:val="000000"/>
        </w:rPr>
      </w:pPr>
      <w:r>
        <w:rPr>
          <w:rFonts w:hint="eastAsia" w:ascii="仿宋" w:hAnsi="仿宋" w:eastAsia="仿宋" w:cs="仿宋"/>
          <w:color w:val="000000"/>
        </w:rPr>
        <w:t>二、收入决算表</w:t>
      </w:r>
    </w:p>
    <w:p>
      <w:pPr>
        <w:ind w:firstLine="640"/>
        <w:jc w:val="left"/>
        <w:rPr>
          <w:rFonts w:ascii="仿宋" w:hAnsi="仿宋" w:eastAsia="仿宋" w:cs="仿宋"/>
          <w:color w:val="000000"/>
        </w:rPr>
      </w:pPr>
      <w:r>
        <w:rPr>
          <w:rFonts w:hint="eastAsia" w:ascii="仿宋" w:hAnsi="仿宋" w:eastAsia="仿宋" w:cs="仿宋"/>
          <w:color w:val="000000"/>
        </w:rPr>
        <w:t>三、支出决算表</w:t>
      </w:r>
    </w:p>
    <w:p>
      <w:pPr>
        <w:ind w:firstLine="640"/>
        <w:jc w:val="left"/>
        <w:rPr>
          <w:rFonts w:ascii="仿宋" w:hAnsi="仿宋" w:eastAsia="仿宋" w:cs="仿宋"/>
          <w:color w:val="000000"/>
        </w:rPr>
      </w:pPr>
      <w:r>
        <w:rPr>
          <w:rFonts w:hint="eastAsia" w:ascii="仿宋" w:hAnsi="仿宋" w:eastAsia="仿宋" w:cs="仿宋"/>
          <w:color w:val="000000"/>
        </w:rPr>
        <w:t>四、财政拨款收入支出决算总表</w:t>
      </w:r>
    </w:p>
    <w:p>
      <w:pPr>
        <w:ind w:firstLine="640"/>
        <w:jc w:val="left"/>
        <w:rPr>
          <w:rFonts w:ascii="仿宋" w:hAnsi="仿宋" w:eastAsia="仿宋" w:cs="仿宋"/>
          <w:color w:val="000000"/>
        </w:rPr>
      </w:pPr>
      <w:r>
        <w:rPr>
          <w:rFonts w:hint="eastAsia" w:ascii="仿宋" w:hAnsi="仿宋" w:eastAsia="仿宋" w:cs="仿宋"/>
          <w:color w:val="000000"/>
        </w:rPr>
        <w:t>五、一般公共预算财政拨款支出决算表</w:t>
      </w:r>
    </w:p>
    <w:p>
      <w:pPr>
        <w:ind w:firstLine="640"/>
        <w:jc w:val="left"/>
        <w:rPr>
          <w:rFonts w:ascii="仿宋" w:hAnsi="仿宋" w:eastAsia="仿宋" w:cs="仿宋"/>
          <w:color w:val="000000"/>
        </w:rPr>
      </w:pPr>
      <w:r>
        <w:rPr>
          <w:rFonts w:hint="eastAsia" w:ascii="仿宋" w:hAnsi="仿宋" w:eastAsia="仿宋" w:cs="仿宋"/>
          <w:color w:val="000000"/>
        </w:rPr>
        <w:t>六、一般公共预算财政拨款基本支出决算表</w:t>
      </w:r>
    </w:p>
    <w:p>
      <w:pPr>
        <w:ind w:firstLine="640"/>
        <w:jc w:val="left"/>
        <w:rPr>
          <w:rFonts w:ascii="仿宋" w:hAnsi="仿宋" w:eastAsia="仿宋" w:cs="仿宋"/>
          <w:color w:val="000000"/>
        </w:rPr>
      </w:pPr>
      <w:r>
        <w:rPr>
          <w:rFonts w:hint="eastAsia" w:ascii="仿宋" w:hAnsi="仿宋" w:eastAsia="仿宋" w:cs="仿宋"/>
          <w:color w:val="000000"/>
        </w:rPr>
        <w:t>七、一般公共预算财政拨款“三公”经费支出决算表</w:t>
      </w:r>
    </w:p>
    <w:p>
      <w:pPr>
        <w:ind w:firstLine="640"/>
        <w:jc w:val="left"/>
        <w:rPr>
          <w:rFonts w:ascii="仿宋" w:hAnsi="仿宋" w:eastAsia="仿宋" w:cs="仿宋"/>
          <w:color w:val="000000"/>
        </w:rPr>
      </w:pPr>
      <w:r>
        <w:rPr>
          <w:rFonts w:hint="eastAsia" w:ascii="仿宋" w:hAnsi="仿宋" w:eastAsia="仿宋" w:cs="仿宋"/>
          <w:color w:val="000000"/>
        </w:rPr>
        <w:t>八、政府性基金预算财政拨款收入支出决算表</w:t>
      </w:r>
    </w:p>
    <w:p>
      <w:pPr>
        <w:ind w:firstLine="640"/>
        <w:jc w:val="left"/>
        <w:rPr>
          <w:rFonts w:ascii="仿宋" w:hAnsi="仿宋" w:eastAsia="仿宋" w:cs="仿宋"/>
          <w:color w:val="000000"/>
        </w:rPr>
      </w:pPr>
      <w:r>
        <w:rPr>
          <w:rFonts w:hint="eastAsia" w:ascii="仿宋" w:hAnsi="仿宋" w:eastAsia="仿宋" w:cs="仿宋"/>
          <w:color w:val="000000"/>
        </w:rPr>
        <w:t>（详见附件）</w:t>
      </w: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p>
    <w:p>
      <w:pPr>
        <w:kinsoku w:val="0"/>
        <w:overflowPunct w:val="0"/>
        <w:adjustRightInd w:val="0"/>
        <w:snapToGrid w:val="0"/>
        <w:spacing w:line="240" w:lineRule="auto"/>
        <w:ind w:left="0" w:leftChars="0" w:right="522" w:firstLine="0" w:firstLineChars="0"/>
        <w:jc w:val="both"/>
        <w:rPr>
          <w:rFonts w:ascii="黑体" w:hAnsi="黑体" w:eastAsia="黑体" w:cs="黑体"/>
          <w:sz w:val="48"/>
          <w:szCs w:val="48"/>
        </w:rPr>
      </w:pPr>
    </w:p>
    <w:p>
      <w:pPr>
        <w:kinsoku w:val="0"/>
        <w:overflowPunct w:val="0"/>
        <w:adjustRightInd w:val="0"/>
        <w:snapToGrid w:val="0"/>
        <w:spacing w:line="240" w:lineRule="auto"/>
        <w:ind w:left="102" w:right="522" w:firstLine="960"/>
        <w:jc w:val="center"/>
        <w:rPr>
          <w:rFonts w:hint="eastAsia" w:ascii="黑体" w:hAnsi="黑体" w:eastAsia="黑体" w:cs="黑体"/>
          <w:sz w:val="48"/>
          <w:szCs w:val="48"/>
        </w:rPr>
      </w:pPr>
      <w:r>
        <w:rPr>
          <w:rFonts w:hint="eastAsia" w:ascii="黑体" w:hAnsi="黑体" w:eastAsia="黑体" w:cs="黑体"/>
          <w:sz w:val="48"/>
          <w:szCs w:val="48"/>
        </w:rPr>
        <w:br w:type="page"/>
      </w:r>
    </w:p>
    <w:p>
      <w:pPr>
        <w:kinsoku w:val="0"/>
        <w:overflowPunct w:val="0"/>
        <w:adjustRightInd w:val="0"/>
        <w:snapToGrid w:val="0"/>
        <w:spacing w:line="240" w:lineRule="auto"/>
        <w:ind w:left="102" w:right="522" w:firstLine="960"/>
        <w:jc w:val="center"/>
        <w:rPr>
          <w:rFonts w:hint="eastAsia" w:ascii="黑体" w:hAnsi="黑体" w:eastAsia="黑体" w:cs="黑体"/>
          <w:sz w:val="48"/>
          <w:szCs w:val="48"/>
        </w:rPr>
      </w:pPr>
    </w:p>
    <w:p>
      <w:pPr>
        <w:kinsoku w:val="0"/>
        <w:overflowPunct w:val="0"/>
        <w:adjustRightInd w:val="0"/>
        <w:snapToGrid w:val="0"/>
        <w:spacing w:line="240" w:lineRule="auto"/>
        <w:ind w:left="102" w:right="522" w:firstLine="960"/>
        <w:jc w:val="center"/>
        <w:rPr>
          <w:rFonts w:hint="eastAsia" w:ascii="黑体" w:hAnsi="黑体" w:eastAsia="黑体" w:cs="黑体"/>
          <w:sz w:val="48"/>
          <w:szCs w:val="48"/>
        </w:rPr>
      </w:pPr>
    </w:p>
    <w:p>
      <w:pPr>
        <w:kinsoku w:val="0"/>
        <w:overflowPunct w:val="0"/>
        <w:adjustRightInd w:val="0"/>
        <w:snapToGrid w:val="0"/>
        <w:spacing w:line="240" w:lineRule="auto"/>
        <w:ind w:left="102" w:right="522" w:firstLine="960"/>
        <w:jc w:val="center"/>
        <w:rPr>
          <w:rFonts w:hint="eastAsia" w:ascii="黑体" w:hAnsi="黑体" w:eastAsia="黑体" w:cs="黑体"/>
          <w:sz w:val="48"/>
          <w:szCs w:val="48"/>
        </w:rPr>
      </w:pPr>
    </w:p>
    <w:p>
      <w:pPr>
        <w:kinsoku w:val="0"/>
        <w:overflowPunct w:val="0"/>
        <w:adjustRightInd w:val="0"/>
        <w:snapToGrid w:val="0"/>
        <w:spacing w:line="240" w:lineRule="auto"/>
        <w:ind w:left="102" w:right="522" w:firstLine="960"/>
        <w:jc w:val="center"/>
        <w:rPr>
          <w:rFonts w:hint="eastAsia" w:ascii="黑体" w:hAnsi="黑体" w:eastAsia="黑体" w:cs="黑体"/>
          <w:sz w:val="48"/>
          <w:szCs w:val="48"/>
        </w:rPr>
      </w:pPr>
    </w:p>
    <w:p>
      <w:pPr>
        <w:kinsoku w:val="0"/>
        <w:overflowPunct w:val="0"/>
        <w:adjustRightInd w:val="0"/>
        <w:snapToGrid w:val="0"/>
        <w:spacing w:line="240" w:lineRule="auto"/>
        <w:ind w:left="102" w:right="522" w:firstLine="960"/>
        <w:jc w:val="center"/>
        <w:rPr>
          <w:rFonts w:hint="eastAsia" w:ascii="黑体" w:hAnsi="黑体" w:eastAsia="黑体" w:cs="黑体"/>
          <w:sz w:val="48"/>
          <w:szCs w:val="48"/>
        </w:rPr>
      </w:pPr>
    </w:p>
    <w:p>
      <w:pPr>
        <w:kinsoku w:val="0"/>
        <w:overflowPunct w:val="0"/>
        <w:adjustRightInd w:val="0"/>
        <w:snapToGrid w:val="0"/>
        <w:spacing w:line="240" w:lineRule="auto"/>
        <w:ind w:left="102" w:right="522" w:firstLine="960"/>
        <w:jc w:val="center"/>
        <w:rPr>
          <w:rFonts w:hint="eastAsia" w:ascii="黑体" w:hAnsi="黑体" w:eastAsia="黑体" w:cs="黑体"/>
          <w:sz w:val="48"/>
          <w:szCs w:val="48"/>
        </w:rPr>
      </w:pPr>
    </w:p>
    <w:p>
      <w:pPr>
        <w:kinsoku w:val="0"/>
        <w:overflowPunct w:val="0"/>
        <w:adjustRightInd w:val="0"/>
        <w:snapToGrid w:val="0"/>
        <w:spacing w:line="240" w:lineRule="auto"/>
        <w:ind w:left="102" w:right="522" w:firstLine="960"/>
        <w:jc w:val="center"/>
        <w:rPr>
          <w:rFonts w:ascii="黑体" w:hAnsi="黑体" w:eastAsia="黑体" w:cs="黑体"/>
          <w:sz w:val="48"/>
          <w:szCs w:val="48"/>
        </w:rPr>
      </w:pPr>
      <w:r>
        <w:rPr>
          <w:rFonts w:hint="eastAsia" w:ascii="黑体" w:hAnsi="黑体" w:eastAsia="黑体" w:cs="黑体"/>
          <w:sz w:val="48"/>
          <w:szCs w:val="48"/>
        </w:rPr>
        <w:t>第三部分</w:t>
      </w:r>
    </w:p>
    <w:p>
      <w:pPr>
        <w:kinsoku w:val="0"/>
        <w:overflowPunct w:val="0"/>
        <w:adjustRightInd w:val="0"/>
        <w:snapToGrid w:val="0"/>
        <w:spacing w:line="240" w:lineRule="auto"/>
        <w:ind w:left="102" w:right="522" w:firstLine="960"/>
        <w:jc w:val="center"/>
        <w:rPr>
          <w:rFonts w:ascii="仿宋" w:hAnsi="仿宋" w:eastAsia="仿宋" w:cs="黑体"/>
        </w:rPr>
      </w:pPr>
      <w:r>
        <w:rPr>
          <w:rFonts w:hint="eastAsia" w:ascii="黑体" w:hAnsi="黑体" w:eastAsia="黑体" w:cs="黑体"/>
          <w:sz w:val="48"/>
          <w:szCs w:val="48"/>
        </w:rPr>
        <w:t>20</w:t>
      </w:r>
      <w:r>
        <w:rPr>
          <w:rFonts w:ascii="黑体" w:hAnsi="黑体" w:eastAsia="黑体" w:cs="黑体"/>
          <w:sz w:val="48"/>
          <w:szCs w:val="48"/>
        </w:rPr>
        <w:t>2</w:t>
      </w:r>
      <w:r>
        <w:rPr>
          <w:rFonts w:hint="eastAsia" w:ascii="黑体" w:hAnsi="黑体" w:eastAsia="黑体" w:cs="黑体"/>
          <w:sz w:val="48"/>
          <w:szCs w:val="48"/>
          <w:lang w:val="en-US" w:eastAsia="zh-CN"/>
        </w:rPr>
        <w:t>1</w:t>
      </w:r>
      <w:r>
        <w:rPr>
          <w:rFonts w:hint="eastAsia" w:ascii="黑体" w:hAnsi="黑体" w:eastAsia="黑体" w:cs="黑体"/>
          <w:sz w:val="48"/>
          <w:szCs w:val="48"/>
        </w:rPr>
        <w:t>年度部门决算情况说明</w:t>
      </w:r>
    </w:p>
    <w:p>
      <w:pPr>
        <w:adjustRightInd w:val="0"/>
        <w:snapToGrid w:val="0"/>
        <w:spacing w:line="360" w:lineRule="auto"/>
        <w:ind w:firstLine="640"/>
        <w:rPr>
          <w:rFonts w:ascii="仿宋" w:hAnsi="仿宋" w:eastAsia="仿宋" w:cs="黑体"/>
        </w:rPr>
      </w:pPr>
    </w:p>
    <w:p>
      <w:pPr>
        <w:autoSpaceDE w:val="0"/>
        <w:autoSpaceDN w:val="0"/>
        <w:adjustRightInd w:val="0"/>
        <w:spacing w:line="360" w:lineRule="auto"/>
        <w:ind w:firstLine="643"/>
        <w:rPr>
          <w:rFonts w:ascii="仿宋" w:hAnsi="仿宋" w:eastAsia="仿宋"/>
          <w:b/>
          <w:color w:val="000000"/>
          <w:kern w:val="0"/>
          <w:lang w:val="zh-CN"/>
        </w:rPr>
      </w:pPr>
      <w:r>
        <w:rPr>
          <w:rFonts w:hint="eastAsia" w:ascii="仿宋" w:hAnsi="仿宋" w:eastAsia="仿宋" w:cs="宋体"/>
          <w:b/>
          <w:color w:val="000000"/>
          <w:kern w:val="0"/>
          <w:lang w:val="zh-CN"/>
        </w:rPr>
        <w:br w:type="page"/>
      </w:r>
      <w:r>
        <w:rPr>
          <w:rFonts w:hint="eastAsia" w:ascii="仿宋" w:hAnsi="仿宋" w:eastAsia="仿宋" w:cs="宋体"/>
          <w:b/>
          <w:color w:val="000000"/>
          <w:kern w:val="0"/>
          <w:lang w:val="zh-CN"/>
        </w:rPr>
        <w:t>一、收入支出决算总体情况说明</w:t>
      </w:r>
    </w:p>
    <w:p>
      <w:pPr>
        <w:autoSpaceDE w:val="0"/>
        <w:autoSpaceDN w:val="0"/>
        <w:adjustRightInd w:val="0"/>
        <w:spacing w:line="360" w:lineRule="auto"/>
        <w:ind w:firstLine="640"/>
        <w:rPr>
          <w:rFonts w:ascii="仿宋" w:hAnsi="仿宋" w:eastAsia="仿宋"/>
          <w:color w:val="000000"/>
          <w:kern w:val="0"/>
          <w:highlight w:val="none"/>
          <w:lang w:val="zh-CN"/>
        </w:rPr>
      </w:pPr>
      <w:r>
        <w:rPr>
          <w:rFonts w:ascii="仿宋" w:hAnsi="仿宋" w:eastAsia="仿宋" w:cs="宋体"/>
          <w:color w:val="000000"/>
          <w:kern w:val="0"/>
          <w:lang w:val="zh-CN"/>
        </w:rPr>
        <w:t>202</w:t>
      </w:r>
      <w:r>
        <w:rPr>
          <w:rFonts w:hint="eastAsia" w:ascii="仿宋" w:hAnsi="仿宋" w:eastAsia="仿宋" w:cs="宋体"/>
          <w:color w:val="000000"/>
          <w:kern w:val="0"/>
          <w:lang w:val="en-US" w:eastAsia="zh-CN"/>
        </w:rPr>
        <w:t>1</w:t>
      </w:r>
      <w:r>
        <w:rPr>
          <w:rFonts w:hint="eastAsia" w:ascii="仿宋" w:hAnsi="仿宋" w:eastAsia="仿宋" w:cs="宋体"/>
          <w:color w:val="000000"/>
          <w:kern w:val="0"/>
          <w:lang w:val="zh-CN"/>
        </w:rPr>
        <w:t>年度收、支总计均为</w:t>
      </w:r>
      <w:r>
        <w:rPr>
          <w:rFonts w:hint="eastAsia" w:ascii="仿宋" w:hAnsi="仿宋" w:eastAsia="仿宋" w:cs="宋体"/>
          <w:color w:val="000000"/>
          <w:kern w:val="0"/>
          <w:lang w:val="en-US" w:eastAsia="zh-CN"/>
        </w:rPr>
        <w:t>3818.61万元</w:t>
      </w:r>
      <w:r>
        <w:rPr>
          <w:rFonts w:hint="eastAsia" w:ascii="仿宋" w:hAnsi="仿宋" w:eastAsia="仿宋" w:cs="宋体"/>
          <w:color w:val="000000"/>
          <w:kern w:val="0"/>
          <w:lang w:val="zh-CN"/>
        </w:rPr>
        <w:t>。与上年度相比，收、支总</w:t>
      </w:r>
      <w:r>
        <w:rPr>
          <w:rFonts w:hint="eastAsia" w:ascii="仿宋" w:hAnsi="仿宋" w:eastAsia="仿宋" w:cs="宋体"/>
          <w:color w:val="000000"/>
          <w:kern w:val="0"/>
          <w:highlight w:val="none"/>
          <w:lang w:val="zh-CN"/>
        </w:rPr>
        <w:t>计各增加</w:t>
      </w:r>
      <w:r>
        <w:rPr>
          <w:rFonts w:hint="eastAsia" w:ascii="仿宋" w:hAnsi="仿宋" w:eastAsia="仿宋" w:cs="宋体"/>
          <w:color w:val="000000"/>
          <w:kern w:val="0"/>
          <w:highlight w:val="none"/>
          <w:lang w:val="en-US" w:eastAsia="zh-CN"/>
        </w:rPr>
        <w:t>1110.88</w:t>
      </w:r>
      <w:r>
        <w:rPr>
          <w:rFonts w:hint="eastAsia" w:ascii="仿宋" w:hAnsi="仿宋" w:eastAsia="仿宋" w:cs="宋体"/>
          <w:color w:val="000000"/>
          <w:kern w:val="0"/>
          <w:highlight w:val="none"/>
          <w:lang w:val="zh-CN"/>
        </w:rPr>
        <w:t>万元，增长</w:t>
      </w:r>
      <w:r>
        <w:rPr>
          <w:rFonts w:hint="eastAsia" w:ascii="仿宋" w:hAnsi="仿宋" w:eastAsia="仿宋" w:cs="宋体"/>
          <w:color w:val="000000"/>
          <w:kern w:val="0"/>
          <w:highlight w:val="none"/>
          <w:lang w:val="en-US" w:eastAsia="zh-CN"/>
        </w:rPr>
        <w:t>41.03</w:t>
      </w:r>
      <w:r>
        <w:rPr>
          <w:rFonts w:hint="eastAsia" w:ascii="仿宋" w:hAnsi="仿宋" w:eastAsia="仿宋" w:cs="宋体"/>
          <w:color w:val="000000"/>
          <w:kern w:val="0"/>
          <w:highlight w:val="none"/>
          <w:lang w:val="zh-CN"/>
        </w:rPr>
        <w:t>%。主要原因是主要原因</w:t>
      </w:r>
      <w:r>
        <w:rPr>
          <w:rFonts w:hint="eastAsia" w:ascii="仿宋" w:hAnsi="仿宋" w:eastAsia="仿宋" w:cs="宋体"/>
          <w:color w:val="000000"/>
          <w:kern w:val="0"/>
          <w:highlight w:val="none"/>
          <w:lang w:val="en-US" w:eastAsia="zh-CN"/>
        </w:rPr>
        <w:t>是</w:t>
      </w:r>
      <w:r>
        <w:rPr>
          <w:rFonts w:hint="eastAsia" w:ascii="仿宋_GB2312" w:hAnsi="仿宋_GB2312"/>
          <w:sz w:val="32"/>
          <w:szCs w:val="32"/>
          <w:highlight w:val="none"/>
          <w:lang w:val="en-US" w:eastAsia="zh-CN"/>
        </w:rPr>
        <w:t>自然资源海洋气象等支出增加</w:t>
      </w:r>
      <w:r>
        <w:rPr>
          <w:rFonts w:hint="eastAsia" w:ascii="仿宋" w:hAnsi="仿宋" w:eastAsia="仿宋" w:cs="宋体"/>
          <w:color w:val="000000"/>
          <w:kern w:val="0"/>
          <w:highlight w:val="none"/>
          <w:lang w:val="zh-CN"/>
        </w:rPr>
        <w:t>。</w:t>
      </w:r>
    </w:p>
    <w:p>
      <w:pPr>
        <w:autoSpaceDE w:val="0"/>
        <w:autoSpaceDN w:val="0"/>
        <w:adjustRightInd w:val="0"/>
        <w:spacing w:line="360" w:lineRule="auto"/>
        <w:ind w:firstLine="643"/>
        <w:rPr>
          <w:rFonts w:ascii="仿宋" w:hAnsi="仿宋" w:eastAsia="仿宋"/>
          <w:b/>
          <w:color w:val="000000"/>
          <w:kern w:val="0"/>
          <w:highlight w:val="none"/>
          <w:lang w:val="zh-CN"/>
        </w:rPr>
      </w:pPr>
      <w:r>
        <w:rPr>
          <w:rFonts w:hint="eastAsia" w:ascii="仿宋" w:hAnsi="仿宋" w:eastAsia="仿宋" w:cs="宋体"/>
          <w:b/>
          <w:color w:val="000000"/>
          <w:kern w:val="0"/>
          <w:highlight w:val="none"/>
          <w:lang w:val="zh-CN"/>
        </w:rPr>
        <w:t>二、收入决算情况说明</w:t>
      </w:r>
    </w:p>
    <w:p>
      <w:pPr>
        <w:autoSpaceDE w:val="0"/>
        <w:autoSpaceDN w:val="0"/>
        <w:adjustRightInd w:val="0"/>
        <w:spacing w:line="360" w:lineRule="auto"/>
        <w:ind w:firstLine="640"/>
        <w:rPr>
          <w:rFonts w:ascii="仿宋" w:hAnsi="仿宋" w:eastAsia="仿宋" w:cs="宋体"/>
          <w:color w:val="000000"/>
          <w:kern w:val="0"/>
          <w:highlight w:val="none"/>
          <w:lang w:val="zh-CN"/>
        </w:rPr>
      </w:pPr>
      <w:r>
        <w:rPr>
          <w:rFonts w:hint="eastAsia" w:ascii="仿宋" w:hAnsi="仿宋" w:eastAsia="仿宋" w:cs="宋体"/>
          <w:color w:val="000000"/>
          <w:kern w:val="0"/>
          <w:highlight w:val="none"/>
          <w:lang w:val="en-US"/>
        </w:rPr>
        <w:t>2021年度收入合计</w:t>
      </w:r>
      <w:r>
        <w:rPr>
          <w:rFonts w:hint="eastAsia" w:ascii="仿宋" w:hAnsi="仿宋" w:eastAsia="仿宋" w:cs="宋体"/>
          <w:color w:val="000000"/>
          <w:kern w:val="0"/>
          <w:highlight w:val="none"/>
          <w:lang w:val="en-US" w:eastAsia="zh-CN"/>
        </w:rPr>
        <w:t>3818.61</w:t>
      </w:r>
      <w:r>
        <w:rPr>
          <w:rFonts w:hint="eastAsia" w:ascii="仿宋" w:hAnsi="仿宋" w:eastAsia="仿宋" w:cs="宋体"/>
          <w:color w:val="000000"/>
          <w:kern w:val="0"/>
          <w:highlight w:val="none"/>
          <w:lang w:val="en-US"/>
        </w:rPr>
        <w:t>万元，其中：财政拨款收入</w:t>
      </w:r>
      <w:r>
        <w:rPr>
          <w:rFonts w:hint="eastAsia" w:ascii="仿宋" w:hAnsi="仿宋" w:eastAsia="仿宋" w:cs="宋体"/>
          <w:color w:val="000000"/>
          <w:kern w:val="0"/>
          <w:highlight w:val="none"/>
          <w:lang w:val="en-US" w:eastAsia="zh-CN"/>
        </w:rPr>
        <w:t>3818.61</w:t>
      </w:r>
      <w:r>
        <w:rPr>
          <w:rFonts w:hint="eastAsia" w:ascii="仿宋" w:hAnsi="仿宋" w:eastAsia="仿宋" w:cs="宋体"/>
          <w:color w:val="000000"/>
          <w:kern w:val="0"/>
          <w:highlight w:val="none"/>
          <w:lang w:val="en-US"/>
        </w:rPr>
        <w:t>万元，占</w:t>
      </w:r>
      <w:r>
        <w:rPr>
          <w:rFonts w:hint="eastAsia" w:ascii="仿宋" w:hAnsi="仿宋" w:eastAsia="仿宋" w:cs="宋体"/>
          <w:color w:val="000000"/>
          <w:kern w:val="0"/>
          <w:highlight w:val="none"/>
          <w:lang w:val="en-US" w:eastAsia="zh-CN"/>
        </w:rPr>
        <w:t>100</w:t>
      </w:r>
      <w:r>
        <w:rPr>
          <w:rFonts w:hint="eastAsia" w:ascii="仿宋" w:hAnsi="仿宋" w:eastAsia="仿宋" w:cs="宋体"/>
          <w:color w:val="000000"/>
          <w:kern w:val="0"/>
          <w:highlight w:val="none"/>
          <w:lang w:val="en-US"/>
        </w:rPr>
        <w:t>%。</w:t>
      </w:r>
    </w:p>
    <w:p>
      <w:pPr>
        <w:autoSpaceDE w:val="0"/>
        <w:autoSpaceDN w:val="0"/>
        <w:adjustRightInd w:val="0"/>
        <w:spacing w:line="360" w:lineRule="auto"/>
        <w:ind w:firstLine="643"/>
        <w:rPr>
          <w:rFonts w:ascii="仿宋" w:hAnsi="仿宋" w:eastAsia="仿宋"/>
          <w:b/>
          <w:color w:val="000000"/>
          <w:kern w:val="0"/>
          <w:highlight w:val="none"/>
          <w:lang w:val="zh-CN"/>
        </w:rPr>
      </w:pPr>
      <w:r>
        <w:rPr>
          <w:rFonts w:hint="eastAsia" w:ascii="仿宋" w:hAnsi="仿宋" w:eastAsia="仿宋" w:cs="宋体"/>
          <w:b/>
          <w:color w:val="000000"/>
          <w:kern w:val="0"/>
          <w:highlight w:val="none"/>
          <w:lang w:val="zh-CN"/>
        </w:rPr>
        <w:t>三、支出决算情况说明</w:t>
      </w:r>
    </w:p>
    <w:p>
      <w:pPr>
        <w:autoSpaceDE w:val="0"/>
        <w:autoSpaceDN w:val="0"/>
        <w:adjustRightInd w:val="0"/>
        <w:spacing w:line="360" w:lineRule="auto"/>
        <w:ind w:firstLine="640"/>
        <w:rPr>
          <w:rFonts w:hint="default" w:ascii="仿宋" w:hAnsi="仿宋" w:eastAsia="仿宋" w:cs="宋体"/>
          <w:color w:val="000000"/>
          <w:kern w:val="0"/>
          <w:highlight w:val="none"/>
          <w:lang w:val="zh-CN"/>
        </w:rPr>
      </w:pPr>
      <w:r>
        <w:rPr>
          <w:rFonts w:hint="eastAsia" w:ascii="仿宋" w:hAnsi="仿宋" w:eastAsia="仿宋" w:cs="宋体"/>
          <w:color w:val="000000"/>
          <w:kern w:val="0"/>
          <w:highlight w:val="none"/>
          <w:lang w:val="en-US"/>
        </w:rPr>
        <w:t>2021年度支出合计</w:t>
      </w:r>
      <w:r>
        <w:rPr>
          <w:rFonts w:hint="eastAsia" w:ascii="仿宋" w:hAnsi="仿宋" w:eastAsia="仿宋" w:cs="宋体"/>
          <w:color w:val="000000"/>
          <w:kern w:val="0"/>
          <w:highlight w:val="none"/>
          <w:lang w:val="en-US" w:eastAsia="zh-CN"/>
        </w:rPr>
        <w:t>3818.61</w:t>
      </w:r>
      <w:r>
        <w:rPr>
          <w:rFonts w:hint="eastAsia" w:ascii="仿宋" w:hAnsi="仿宋" w:eastAsia="仿宋" w:cs="宋体"/>
          <w:color w:val="000000"/>
          <w:kern w:val="0"/>
          <w:highlight w:val="none"/>
          <w:lang w:val="en-US"/>
        </w:rPr>
        <w:t>万元，其中：基本支出</w:t>
      </w:r>
      <w:r>
        <w:rPr>
          <w:rFonts w:hint="eastAsia" w:ascii="仿宋" w:hAnsi="仿宋" w:eastAsia="仿宋" w:cs="宋体"/>
          <w:color w:val="000000"/>
          <w:kern w:val="0"/>
          <w:highlight w:val="none"/>
          <w:lang w:val="en-US" w:eastAsia="zh-CN"/>
        </w:rPr>
        <w:t>1041.63</w:t>
      </w:r>
      <w:r>
        <w:rPr>
          <w:rFonts w:hint="eastAsia" w:ascii="仿宋" w:hAnsi="仿宋" w:eastAsia="仿宋" w:cs="宋体"/>
          <w:color w:val="000000"/>
          <w:kern w:val="0"/>
          <w:highlight w:val="none"/>
          <w:lang w:val="en-US"/>
        </w:rPr>
        <w:t>万元，占</w:t>
      </w:r>
      <w:r>
        <w:rPr>
          <w:rFonts w:hint="eastAsia" w:ascii="仿宋" w:hAnsi="仿宋" w:eastAsia="仿宋" w:cs="宋体"/>
          <w:color w:val="000000"/>
          <w:kern w:val="0"/>
          <w:highlight w:val="none"/>
          <w:lang w:val="en-US" w:eastAsia="zh-CN"/>
        </w:rPr>
        <w:t>27.28</w:t>
      </w:r>
      <w:r>
        <w:rPr>
          <w:rFonts w:hint="eastAsia" w:ascii="仿宋" w:hAnsi="仿宋" w:eastAsia="仿宋" w:cs="宋体"/>
          <w:color w:val="000000"/>
          <w:kern w:val="0"/>
          <w:highlight w:val="none"/>
          <w:lang w:val="en-US"/>
        </w:rPr>
        <w:t>%；项目支出</w:t>
      </w:r>
      <w:r>
        <w:rPr>
          <w:rFonts w:hint="eastAsia" w:ascii="仿宋" w:hAnsi="仿宋" w:eastAsia="仿宋" w:cs="宋体"/>
          <w:color w:val="000000"/>
          <w:kern w:val="0"/>
          <w:highlight w:val="none"/>
          <w:lang w:val="en-US" w:eastAsia="zh-CN"/>
        </w:rPr>
        <w:t>2776.98</w:t>
      </w:r>
      <w:r>
        <w:rPr>
          <w:rFonts w:hint="eastAsia" w:ascii="仿宋" w:hAnsi="仿宋" w:eastAsia="仿宋" w:cs="宋体"/>
          <w:color w:val="000000"/>
          <w:kern w:val="0"/>
          <w:highlight w:val="none"/>
          <w:lang w:val="en-US"/>
        </w:rPr>
        <w:t>万元，占</w:t>
      </w:r>
      <w:r>
        <w:rPr>
          <w:rFonts w:hint="eastAsia" w:ascii="仿宋" w:hAnsi="仿宋" w:eastAsia="仿宋" w:cs="宋体"/>
          <w:color w:val="000000"/>
          <w:kern w:val="0"/>
          <w:highlight w:val="none"/>
          <w:lang w:val="en-US" w:eastAsia="zh-CN"/>
        </w:rPr>
        <w:t>72.72</w:t>
      </w:r>
      <w:r>
        <w:rPr>
          <w:rFonts w:hint="eastAsia" w:ascii="仿宋" w:hAnsi="仿宋" w:eastAsia="仿宋" w:cs="宋体"/>
          <w:color w:val="000000"/>
          <w:kern w:val="0"/>
          <w:highlight w:val="none"/>
          <w:lang w:val="en-US"/>
        </w:rPr>
        <w:t>%。</w:t>
      </w:r>
    </w:p>
    <w:p>
      <w:pPr>
        <w:autoSpaceDE w:val="0"/>
        <w:autoSpaceDN w:val="0"/>
        <w:adjustRightInd w:val="0"/>
        <w:spacing w:line="360" w:lineRule="auto"/>
        <w:ind w:firstLine="643"/>
        <w:rPr>
          <w:rFonts w:ascii="仿宋" w:hAnsi="仿宋" w:eastAsia="仿宋"/>
          <w:b/>
          <w:color w:val="000000"/>
          <w:kern w:val="0"/>
          <w:highlight w:val="none"/>
          <w:lang w:val="zh-CN"/>
        </w:rPr>
      </w:pPr>
      <w:r>
        <w:rPr>
          <w:rFonts w:hint="eastAsia" w:ascii="仿宋" w:hAnsi="仿宋" w:eastAsia="仿宋" w:cs="宋体"/>
          <w:b/>
          <w:color w:val="000000"/>
          <w:kern w:val="0"/>
          <w:highlight w:val="none"/>
          <w:lang w:val="zh-CN"/>
        </w:rPr>
        <w:t>四、财政拨款收入支出决算总体情况说明</w:t>
      </w:r>
    </w:p>
    <w:p>
      <w:pPr>
        <w:autoSpaceDE w:val="0"/>
        <w:autoSpaceDN w:val="0"/>
        <w:adjustRightInd w:val="0"/>
        <w:spacing w:line="360" w:lineRule="auto"/>
        <w:ind w:firstLine="640"/>
        <w:rPr>
          <w:rFonts w:ascii="仿宋" w:hAnsi="仿宋" w:eastAsia="仿宋" w:cs="宋体"/>
          <w:color w:val="000000"/>
          <w:kern w:val="0"/>
          <w:highlight w:val="none"/>
          <w:lang w:val="zh-CN"/>
        </w:rPr>
      </w:pPr>
      <w:r>
        <w:rPr>
          <w:rFonts w:hint="eastAsia" w:ascii="仿宋" w:hAnsi="仿宋" w:eastAsia="仿宋" w:cs="宋体"/>
          <w:color w:val="000000"/>
          <w:kern w:val="0"/>
          <w:highlight w:val="none"/>
          <w:lang w:val="zh-CN" w:eastAsia="zh-CN"/>
        </w:rPr>
        <w:t>202</w:t>
      </w:r>
      <w:r>
        <w:rPr>
          <w:rFonts w:hint="eastAsia" w:ascii="仿宋" w:hAnsi="仿宋" w:eastAsia="仿宋" w:cs="宋体"/>
          <w:color w:val="000000"/>
          <w:kern w:val="0"/>
          <w:highlight w:val="none"/>
          <w:lang w:val="en-US" w:eastAsia="zh-CN"/>
        </w:rPr>
        <w:t>1</w:t>
      </w:r>
      <w:r>
        <w:rPr>
          <w:rFonts w:hint="eastAsia" w:ascii="仿宋" w:hAnsi="仿宋" w:eastAsia="仿宋" w:cs="宋体"/>
          <w:color w:val="000000"/>
          <w:kern w:val="0"/>
          <w:highlight w:val="none"/>
          <w:lang w:val="zh-CN" w:eastAsia="zh-CN"/>
        </w:rPr>
        <w:t>年度财政拨款收、支总计均为</w:t>
      </w:r>
      <w:r>
        <w:rPr>
          <w:rFonts w:hint="eastAsia" w:ascii="仿宋" w:hAnsi="仿宋" w:eastAsia="仿宋" w:cs="宋体"/>
          <w:color w:val="000000"/>
          <w:kern w:val="0"/>
          <w:highlight w:val="none"/>
          <w:lang w:val="en-US" w:eastAsia="zh-CN"/>
        </w:rPr>
        <w:t>3818.61</w:t>
      </w:r>
      <w:r>
        <w:rPr>
          <w:rFonts w:hint="eastAsia" w:ascii="仿宋" w:hAnsi="仿宋" w:eastAsia="仿宋" w:cs="宋体"/>
          <w:color w:val="000000"/>
          <w:kern w:val="0"/>
          <w:highlight w:val="none"/>
          <w:lang w:val="zh-CN" w:eastAsia="zh-CN"/>
        </w:rPr>
        <w:t>万元。与上年度相比，财政拨款收、支总计各</w:t>
      </w:r>
      <w:r>
        <w:rPr>
          <w:rFonts w:hint="eastAsia" w:ascii="仿宋" w:hAnsi="仿宋" w:eastAsia="仿宋" w:cs="宋体"/>
          <w:color w:val="000000"/>
          <w:kern w:val="0"/>
          <w:highlight w:val="none"/>
          <w:lang w:val="en-US" w:eastAsia="zh-CN"/>
        </w:rPr>
        <w:t>增加1110.88</w:t>
      </w:r>
      <w:r>
        <w:rPr>
          <w:rFonts w:hint="eastAsia" w:ascii="仿宋" w:hAnsi="仿宋" w:eastAsia="仿宋" w:cs="宋体"/>
          <w:color w:val="000000"/>
          <w:kern w:val="0"/>
          <w:highlight w:val="none"/>
          <w:lang w:val="zh-CN" w:eastAsia="zh-CN"/>
        </w:rPr>
        <w:t>万元，增加</w:t>
      </w:r>
      <w:r>
        <w:rPr>
          <w:rFonts w:hint="eastAsia" w:ascii="仿宋" w:hAnsi="仿宋" w:eastAsia="仿宋" w:cs="宋体"/>
          <w:color w:val="000000"/>
          <w:kern w:val="0"/>
          <w:highlight w:val="none"/>
          <w:lang w:val="en-US" w:eastAsia="zh-CN"/>
        </w:rPr>
        <w:t>41.03</w:t>
      </w:r>
      <w:r>
        <w:rPr>
          <w:rFonts w:hint="eastAsia" w:ascii="仿宋" w:hAnsi="仿宋" w:eastAsia="仿宋" w:cs="宋体"/>
          <w:color w:val="000000"/>
          <w:kern w:val="0"/>
          <w:highlight w:val="none"/>
          <w:lang w:val="zh-CN" w:eastAsia="zh-CN"/>
        </w:rPr>
        <w:t>%。主要原因是</w:t>
      </w:r>
      <w:r>
        <w:rPr>
          <w:rFonts w:hint="eastAsia" w:ascii="仿宋_GB2312" w:hAnsi="仿宋_GB2312"/>
          <w:sz w:val="32"/>
          <w:szCs w:val="32"/>
          <w:highlight w:val="none"/>
          <w:lang w:val="en-US" w:eastAsia="zh-CN"/>
        </w:rPr>
        <w:t>自然资源海洋气象等支出增加</w:t>
      </w:r>
      <w:r>
        <w:rPr>
          <w:rFonts w:hint="eastAsia" w:ascii="仿宋" w:hAnsi="仿宋" w:eastAsia="仿宋" w:cs="宋体"/>
          <w:kern w:val="0"/>
          <w:highlight w:val="none"/>
          <w:lang w:val="zh-CN"/>
        </w:rPr>
        <w:t>。</w:t>
      </w:r>
    </w:p>
    <w:p>
      <w:pPr>
        <w:autoSpaceDE w:val="0"/>
        <w:autoSpaceDN w:val="0"/>
        <w:adjustRightInd w:val="0"/>
        <w:spacing w:line="360" w:lineRule="auto"/>
        <w:ind w:firstLine="643"/>
        <w:rPr>
          <w:rFonts w:ascii="仿宋" w:hAnsi="仿宋" w:eastAsia="仿宋"/>
          <w:b/>
          <w:color w:val="000000"/>
          <w:kern w:val="0"/>
          <w:highlight w:val="none"/>
          <w:lang w:val="zh-CN"/>
        </w:rPr>
      </w:pPr>
      <w:r>
        <w:rPr>
          <w:rFonts w:hint="eastAsia" w:ascii="仿宋" w:hAnsi="仿宋" w:eastAsia="仿宋" w:cs="宋体"/>
          <w:b/>
          <w:color w:val="000000"/>
          <w:kern w:val="0"/>
          <w:highlight w:val="none"/>
          <w:lang w:val="zh-CN"/>
        </w:rPr>
        <w:t>五、一般公共预算财政拨款支出决算情况说明</w:t>
      </w:r>
    </w:p>
    <w:p>
      <w:pPr>
        <w:autoSpaceDE w:val="0"/>
        <w:autoSpaceDN w:val="0"/>
        <w:adjustRightInd w:val="0"/>
        <w:spacing w:line="360" w:lineRule="auto"/>
        <w:ind w:firstLine="643"/>
        <w:rPr>
          <w:rFonts w:ascii="仿宋" w:hAnsi="仿宋" w:eastAsia="仿宋"/>
          <w:b/>
          <w:color w:val="000000"/>
          <w:kern w:val="0"/>
          <w:lang w:val="zh-CN"/>
        </w:rPr>
      </w:pPr>
      <w:r>
        <w:rPr>
          <w:rFonts w:hint="eastAsia" w:ascii="仿宋" w:hAnsi="仿宋" w:eastAsia="仿宋" w:cs="宋体"/>
          <w:b/>
          <w:color w:val="000000"/>
          <w:kern w:val="0"/>
          <w:lang w:val="zh-CN"/>
        </w:rPr>
        <w:t>（一）总体情况</w:t>
      </w:r>
    </w:p>
    <w:p>
      <w:pPr>
        <w:autoSpaceDE w:val="0"/>
        <w:autoSpaceDN w:val="0"/>
        <w:adjustRightInd w:val="0"/>
        <w:spacing w:line="360" w:lineRule="auto"/>
        <w:ind w:firstLine="640"/>
        <w:rPr>
          <w:rFonts w:ascii="仿宋" w:hAnsi="仿宋" w:eastAsia="仿宋" w:cs="宋体"/>
          <w:color w:val="000000"/>
          <w:kern w:val="0"/>
          <w:highlight w:val="none"/>
          <w:lang w:val="zh-CN"/>
        </w:rPr>
      </w:pPr>
      <w:r>
        <w:rPr>
          <w:rFonts w:hint="eastAsia" w:ascii="仿宋" w:hAnsi="仿宋" w:eastAsia="仿宋" w:cs="宋体"/>
          <w:color w:val="000000"/>
          <w:kern w:val="0"/>
          <w:lang w:val="zh-CN"/>
        </w:rPr>
        <w:t>202</w:t>
      </w:r>
      <w:r>
        <w:rPr>
          <w:rFonts w:hint="eastAsia" w:ascii="仿宋" w:hAnsi="仿宋" w:eastAsia="仿宋" w:cs="宋体"/>
          <w:color w:val="000000"/>
          <w:kern w:val="0"/>
          <w:lang w:val="en-US" w:eastAsia="zh-CN"/>
        </w:rPr>
        <w:t>1</w:t>
      </w:r>
      <w:r>
        <w:rPr>
          <w:rFonts w:hint="eastAsia" w:ascii="仿宋" w:hAnsi="仿宋" w:eastAsia="仿宋" w:cs="宋体"/>
          <w:color w:val="000000"/>
          <w:kern w:val="0"/>
          <w:lang w:val="zh-CN"/>
        </w:rPr>
        <w:t>年度一般公共预算财政拨款支出</w:t>
      </w:r>
      <w:r>
        <w:rPr>
          <w:rFonts w:hint="eastAsia" w:ascii="仿宋" w:hAnsi="仿宋" w:eastAsia="仿宋" w:cs="宋体"/>
          <w:color w:val="000000"/>
          <w:kern w:val="0"/>
          <w:lang w:val="en-US" w:eastAsia="zh-CN"/>
        </w:rPr>
        <w:t>3575.39</w:t>
      </w:r>
      <w:r>
        <w:rPr>
          <w:rFonts w:hint="eastAsia" w:ascii="仿宋" w:hAnsi="仿宋" w:eastAsia="仿宋" w:cs="宋体"/>
          <w:color w:val="000000"/>
          <w:kern w:val="0"/>
          <w:lang w:val="zh-CN"/>
        </w:rPr>
        <w:t>万元，占支出合计的</w:t>
      </w:r>
      <w:r>
        <w:rPr>
          <w:rFonts w:hint="eastAsia" w:ascii="仿宋" w:hAnsi="仿宋" w:eastAsia="仿宋" w:cs="宋体"/>
          <w:color w:val="000000"/>
          <w:kern w:val="0"/>
          <w:lang w:val="en-US" w:eastAsia="zh-CN"/>
        </w:rPr>
        <w:t>93.63</w:t>
      </w:r>
      <w:r>
        <w:rPr>
          <w:rFonts w:hint="eastAsia" w:ascii="仿宋" w:hAnsi="仿宋" w:eastAsia="仿宋" w:cs="宋体"/>
          <w:color w:val="000000"/>
          <w:kern w:val="0"/>
          <w:lang w:val="zh-CN"/>
        </w:rPr>
        <w:t>%。与上年度相比，一般公共预算财政拨款支出增加</w:t>
      </w:r>
      <w:r>
        <w:rPr>
          <w:rFonts w:hint="eastAsia" w:ascii="仿宋" w:hAnsi="仿宋" w:eastAsia="仿宋" w:cs="宋体"/>
          <w:color w:val="000000"/>
          <w:kern w:val="0"/>
          <w:lang w:val="en-US" w:eastAsia="zh-CN"/>
        </w:rPr>
        <w:t>1280.70</w:t>
      </w:r>
      <w:r>
        <w:rPr>
          <w:rFonts w:hint="eastAsia" w:ascii="仿宋" w:hAnsi="仿宋" w:eastAsia="仿宋" w:cs="宋体"/>
          <w:color w:val="000000"/>
          <w:kern w:val="0"/>
          <w:lang w:val="zh-CN"/>
        </w:rPr>
        <w:t>万元，增长</w:t>
      </w:r>
      <w:r>
        <w:rPr>
          <w:rFonts w:hint="eastAsia" w:ascii="仿宋" w:hAnsi="仿宋" w:eastAsia="仿宋" w:cs="宋体"/>
          <w:color w:val="000000"/>
          <w:kern w:val="0"/>
          <w:lang w:val="en-US" w:eastAsia="zh-CN"/>
        </w:rPr>
        <w:t>55.81</w:t>
      </w:r>
      <w:r>
        <w:rPr>
          <w:rFonts w:hint="eastAsia" w:ascii="仿宋" w:hAnsi="仿宋" w:eastAsia="仿宋" w:cs="宋体"/>
          <w:color w:val="000000"/>
          <w:kern w:val="0"/>
          <w:lang w:val="zh-CN"/>
        </w:rPr>
        <w:t>%。主要原因是</w:t>
      </w:r>
      <w:r>
        <w:rPr>
          <w:rFonts w:hint="eastAsia" w:ascii="仿宋_GB2312" w:hAnsi="仿宋_GB2312"/>
          <w:sz w:val="32"/>
          <w:szCs w:val="32"/>
          <w:highlight w:val="none"/>
          <w:lang w:val="en-US" w:eastAsia="zh-CN"/>
        </w:rPr>
        <w:t>自然资源海洋气象等支出</w:t>
      </w:r>
      <w:r>
        <w:rPr>
          <w:rFonts w:hint="eastAsia" w:ascii="仿宋" w:hAnsi="仿宋" w:eastAsia="仿宋" w:cs="宋体"/>
          <w:color w:val="000000"/>
          <w:kern w:val="0"/>
          <w:highlight w:val="none"/>
          <w:lang w:val="zh-CN"/>
        </w:rPr>
        <w:t>增加。</w:t>
      </w:r>
    </w:p>
    <w:p>
      <w:pPr>
        <w:autoSpaceDE w:val="0"/>
        <w:autoSpaceDN w:val="0"/>
        <w:adjustRightInd w:val="0"/>
        <w:spacing w:line="360" w:lineRule="auto"/>
        <w:ind w:firstLine="643"/>
        <w:rPr>
          <w:rFonts w:ascii="仿宋" w:hAnsi="仿宋" w:eastAsia="仿宋"/>
          <w:b/>
          <w:color w:val="000000"/>
          <w:kern w:val="0"/>
          <w:lang w:val="zh-CN"/>
        </w:rPr>
      </w:pPr>
      <w:r>
        <w:rPr>
          <w:rFonts w:hint="eastAsia" w:ascii="仿宋" w:hAnsi="仿宋" w:eastAsia="仿宋" w:cs="宋体"/>
          <w:b/>
          <w:color w:val="000000"/>
          <w:kern w:val="0"/>
          <w:lang w:val="zh-CN"/>
        </w:rPr>
        <w:t>（二）结构情况</w:t>
      </w:r>
    </w:p>
    <w:p>
      <w:pPr>
        <w:ind w:firstLine="640"/>
        <w:jc w:val="left"/>
        <w:rPr>
          <w:rFonts w:ascii="仿宋" w:hAnsi="仿宋" w:eastAsia="仿宋"/>
          <w:color w:val="FF0000"/>
          <w:kern w:val="0"/>
          <w:lang w:val="zh-CN"/>
        </w:rPr>
      </w:pPr>
      <w:r>
        <w:rPr>
          <w:rFonts w:hint="eastAsia" w:ascii="宋体" w:hAnsi="宋体"/>
          <w:lang w:val="zh-CN"/>
        </w:rPr>
        <w:t>202</w:t>
      </w:r>
      <w:r>
        <w:rPr>
          <w:rFonts w:hint="eastAsia" w:ascii="宋体" w:hAnsi="宋体"/>
          <w:lang w:val="en-US" w:eastAsia="zh-CN"/>
        </w:rPr>
        <w:t>1</w:t>
      </w:r>
      <w:r>
        <w:rPr>
          <w:rFonts w:hint="eastAsia" w:ascii="宋体" w:hAnsi="宋体"/>
          <w:lang w:val="zh-CN"/>
        </w:rPr>
        <w:t>年度一般公共预算财政拨款支出</w:t>
      </w:r>
      <w:r>
        <w:rPr>
          <w:rFonts w:hint="eastAsia" w:ascii="宋体" w:hAnsi="宋体"/>
          <w:lang w:val="en-US" w:eastAsia="zh-CN"/>
        </w:rPr>
        <w:t>3575.39</w:t>
      </w:r>
      <w:r>
        <w:rPr>
          <w:rFonts w:hint="eastAsia" w:ascii="宋体" w:hAnsi="宋体"/>
          <w:lang w:val="zh-CN"/>
        </w:rPr>
        <w:t>万元，主要用于以下方面：一般公共服务（类）支出</w:t>
      </w:r>
      <w:r>
        <w:rPr>
          <w:rFonts w:hint="eastAsia" w:ascii="宋体" w:hAnsi="宋体"/>
          <w:lang w:val="en-US" w:eastAsia="zh-CN"/>
        </w:rPr>
        <w:t>4.13</w:t>
      </w:r>
      <w:r>
        <w:rPr>
          <w:rFonts w:hint="eastAsia" w:ascii="宋体" w:hAnsi="宋体"/>
          <w:lang w:val="zh-CN"/>
        </w:rPr>
        <w:t>万元，占</w:t>
      </w:r>
      <w:r>
        <w:rPr>
          <w:rFonts w:hint="eastAsia" w:ascii="宋体" w:hAnsi="宋体"/>
          <w:lang w:val="en-US" w:eastAsia="zh-CN"/>
        </w:rPr>
        <w:t>0.12</w:t>
      </w:r>
      <w:r>
        <w:rPr>
          <w:rFonts w:hint="eastAsia" w:ascii="宋体" w:hAnsi="宋体"/>
          <w:lang w:val="zh-CN"/>
        </w:rPr>
        <w:t>%；社会保障和就业（类）支出</w:t>
      </w:r>
      <w:r>
        <w:rPr>
          <w:rFonts w:hint="eastAsia" w:ascii="宋体" w:hAnsi="宋体"/>
          <w:lang w:val="en-US" w:eastAsia="zh-CN"/>
        </w:rPr>
        <w:t>145.80</w:t>
      </w:r>
      <w:r>
        <w:rPr>
          <w:rFonts w:hint="eastAsia" w:ascii="宋体" w:hAnsi="宋体"/>
          <w:lang w:val="zh-CN"/>
        </w:rPr>
        <w:t>万元，占</w:t>
      </w:r>
      <w:r>
        <w:rPr>
          <w:rFonts w:hint="eastAsia" w:ascii="宋体" w:hAnsi="宋体"/>
          <w:lang w:val="en-US" w:eastAsia="zh-CN"/>
        </w:rPr>
        <w:t>4.08</w:t>
      </w:r>
      <w:r>
        <w:rPr>
          <w:rFonts w:hint="eastAsia" w:ascii="宋体" w:hAnsi="宋体"/>
          <w:lang w:val="zh-CN"/>
        </w:rPr>
        <w:t>%；卫生健康（类）支出</w:t>
      </w:r>
      <w:r>
        <w:rPr>
          <w:rFonts w:hint="eastAsia" w:ascii="宋体" w:hAnsi="宋体"/>
          <w:lang w:val="en-US" w:eastAsia="zh-CN"/>
        </w:rPr>
        <w:t>45.43</w:t>
      </w:r>
      <w:r>
        <w:rPr>
          <w:rFonts w:hint="eastAsia" w:ascii="宋体" w:hAnsi="宋体"/>
          <w:lang w:val="zh-CN"/>
        </w:rPr>
        <w:t>万元，占</w:t>
      </w:r>
      <w:r>
        <w:rPr>
          <w:rFonts w:hint="eastAsia" w:ascii="宋体" w:hAnsi="宋体"/>
          <w:lang w:val="en-US" w:eastAsia="zh-CN"/>
        </w:rPr>
        <w:t>1.27</w:t>
      </w:r>
      <w:r>
        <w:rPr>
          <w:rFonts w:hint="eastAsia" w:ascii="宋体" w:hAnsi="宋体"/>
          <w:lang w:val="zh-CN"/>
        </w:rPr>
        <w:t>%；城乡社区（类）支出</w:t>
      </w:r>
      <w:r>
        <w:rPr>
          <w:rFonts w:hint="eastAsia" w:ascii="宋体" w:hAnsi="宋体"/>
          <w:lang w:val="en-US" w:eastAsia="zh-CN"/>
        </w:rPr>
        <w:t>269.77</w:t>
      </w:r>
      <w:r>
        <w:rPr>
          <w:rFonts w:hint="eastAsia" w:ascii="宋体" w:hAnsi="宋体"/>
          <w:lang w:val="zh-CN"/>
        </w:rPr>
        <w:t>万元，占</w:t>
      </w:r>
      <w:r>
        <w:rPr>
          <w:rFonts w:hint="eastAsia" w:ascii="宋体" w:hAnsi="宋体"/>
          <w:lang w:val="en-US" w:eastAsia="zh-CN"/>
        </w:rPr>
        <w:t>7.55</w:t>
      </w:r>
      <w:r>
        <w:rPr>
          <w:rFonts w:hint="eastAsia" w:ascii="宋体" w:hAnsi="宋体"/>
          <w:lang w:val="zh-CN"/>
        </w:rPr>
        <w:t>%；农林水（类）支出</w:t>
      </w:r>
      <w:r>
        <w:rPr>
          <w:rFonts w:hint="eastAsia" w:ascii="宋体" w:hAnsi="宋体"/>
          <w:lang w:val="en-US" w:eastAsia="zh-CN"/>
        </w:rPr>
        <w:t>25.69</w:t>
      </w:r>
      <w:r>
        <w:rPr>
          <w:rFonts w:hint="eastAsia" w:ascii="宋体" w:hAnsi="宋体"/>
          <w:lang w:val="zh-CN"/>
        </w:rPr>
        <w:t>万元，占</w:t>
      </w:r>
      <w:r>
        <w:rPr>
          <w:rFonts w:hint="eastAsia" w:ascii="宋体" w:hAnsi="宋体"/>
          <w:lang w:val="en-US" w:eastAsia="zh-CN"/>
        </w:rPr>
        <w:t>0.72</w:t>
      </w:r>
      <w:r>
        <w:rPr>
          <w:rFonts w:hint="eastAsia" w:ascii="宋体" w:hAnsi="宋体"/>
          <w:lang w:val="zh-CN"/>
        </w:rPr>
        <w:t>%；自然资源海洋气象等（类）支出</w:t>
      </w:r>
      <w:r>
        <w:rPr>
          <w:rFonts w:hint="eastAsia" w:ascii="宋体" w:hAnsi="宋体"/>
          <w:lang w:val="en-US" w:eastAsia="zh-CN"/>
        </w:rPr>
        <w:t>3029.84</w:t>
      </w:r>
      <w:r>
        <w:rPr>
          <w:rFonts w:hint="eastAsia" w:ascii="宋体" w:hAnsi="宋体"/>
          <w:lang w:val="zh-CN"/>
        </w:rPr>
        <w:t>万元，占</w:t>
      </w:r>
      <w:r>
        <w:rPr>
          <w:rFonts w:hint="eastAsia" w:ascii="宋体" w:hAnsi="宋体"/>
          <w:lang w:val="en-US" w:eastAsia="zh-CN"/>
        </w:rPr>
        <w:t>84.74</w:t>
      </w:r>
      <w:r>
        <w:rPr>
          <w:rFonts w:hint="eastAsia" w:ascii="宋体" w:hAnsi="宋体"/>
          <w:lang w:val="zh-CN"/>
        </w:rPr>
        <w:t>%；住房保障（类）支出</w:t>
      </w:r>
      <w:r>
        <w:rPr>
          <w:rFonts w:hint="eastAsia" w:ascii="宋体" w:hAnsi="宋体"/>
          <w:lang w:val="en-US" w:eastAsia="zh-CN"/>
        </w:rPr>
        <w:t>46.55</w:t>
      </w:r>
      <w:r>
        <w:rPr>
          <w:rFonts w:hint="eastAsia" w:ascii="宋体" w:hAnsi="宋体"/>
          <w:lang w:val="zh-CN"/>
        </w:rPr>
        <w:t>万元，占</w:t>
      </w:r>
      <w:r>
        <w:rPr>
          <w:rFonts w:hint="eastAsia" w:ascii="宋体" w:hAnsi="宋体"/>
          <w:lang w:val="en-US" w:eastAsia="zh-CN"/>
        </w:rPr>
        <w:t>1.30</w:t>
      </w:r>
      <w:r>
        <w:rPr>
          <w:rFonts w:hint="eastAsia" w:ascii="宋体" w:hAnsi="宋体"/>
          <w:lang w:val="zh-CN"/>
        </w:rPr>
        <w:t>%；其他（类）支出</w:t>
      </w:r>
      <w:r>
        <w:rPr>
          <w:rFonts w:hint="eastAsia" w:ascii="宋体" w:hAnsi="宋体"/>
          <w:lang w:val="en-US" w:eastAsia="zh-CN"/>
        </w:rPr>
        <w:t>8.16万元，占0.23%</w:t>
      </w:r>
      <w:r>
        <w:rPr>
          <w:rFonts w:hint="eastAsia" w:ascii="宋体" w:hAnsi="宋体"/>
          <w:lang w:val="zh-CN"/>
        </w:rPr>
        <w:t>。</w:t>
      </w:r>
    </w:p>
    <w:p>
      <w:pPr>
        <w:autoSpaceDE w:val="0"/>
        <w:autoSpaceDN w:val="0"/>
        <w:adjustRightInd w:val="0"/>
        <w:spacing w:line="360" w:lineRule="auto"/>
        <w:ind w:firstLine="643"/>
        <w:rPr>
          <w:rFonts w:ascii="仿宋" w:hAnsi="仿宋" w:eastAsia="仿宋"/>
          <w:b/>
          <w:color w:val="000000"/>
          <w:kern w:val="0"/>
          <w:lang w:val="zh-CN"/>
        </w:rPr>
      </w:pPr>
      <w:r>
        <w:rPr>
          <w:rFonts w:hint="eastAsia" w:ascii="仿宋" w:hAnsi="仿宋" w:eastAsia="仿宋" w:cs="宋体"/>
          <w:b/>
          <w:color w:val="000000"/>
          <w:kern w:val="0"/>
          <w:lang w:val="zh-CN"/>
        </w:rPr>
        <w:t>（三）具体情况</w:t>
      </w:r>
    </w:p>
    <w:p>
      <w:pPr>
        <w:adjustRightInd w:val="0"/>
        <w:snapToGrid w:val="0"/>
        <w:spacing w:line="360" w:lineRule="auto"/>
        <w:ind w:firstLine="640"/>
        <w:rPr>
          <w:rFonts w:ascii="仿宋" w:hAnsi="仿宋" w:eastAsia="仿宋" w:cs="宋体"/>
          <w:kern w:val="0"/>
          <w:lang w:val="zh-CN"/>
        </w:rPr>
      </w:pPr>
      <w:r>
        <w:rPr>
          <w:rFonts w:hint="eastAsia" w:ascii="仿宋" w:hAnsi="仿宋" w:eastAsia="仿宋" w:cs="宋体"/>
          <w:kern w:val="0"/>
          <w:lang w:val="zh-CN"/>
        </w:rPr>
        <w:t>202</w:t>
      </w:r>
      <w:r>
        <w:rPr>
          <w:rFonts w:hint="eastAsia" w:ascii="仿宋" w:hAnsi="仿宋" w:eastAsia="仿宋" w:cs="宋体"/>
          <w:kern w:val="0"/>
          <w:lang w:val="en-US" w:eastAsia="zh-CN"/>
        </w:rPr>
        <w:t>1</w:t>
      </w:r>
      <w:r>
        <w:rPr>
          <w:rFonts w:hint="eastAsia" w:ascii="仿宋" w:hAnsi="仿宋" w:eastAsia="仿宋" w:cs="宋体"/>
          <w:kern w:val="0"/>
          <w:lang w:val="zh-CN"/>
        </w:rPr>
        <w:t>年度一般公共预算财政拨款支出年初预算为</w:t>
      </w:r>
      <w:r>
        <w:rPr>
          <w:rFonts w:hint="eastAsia" w:ascii="仿宋" w:hAnsi="仿宋" w:eastAsia="仿宋" w:cs="宋体"/>
          <w:kern w:val="0"/>
          <w:lang w:val="en-US" w:eastAsia="zh-CN"/>
        </w:rPr>
        <w:t>1208.38</w:t>
      </w:r>
      <w:r>
        <w:rPr>
          <w:rFonts w:hint="eastAsia" w:ascii="仿宋" w:hAnsi="仿宋" w:eastAsia="仿宋" w:cs="宋体"/>
          <w:kern w:val="0"/>
          <w:lang w:val="zh-CN"/>
        </w:rPr>
        <w:t>万元，支出决算为</w:t>
      </w:r>
      <w:r>
        <w:rPr>
          <w:rFonts w:hint="eastAsia" w:ascii="宋体" w:hAnsi="宋体"/>
          <w:lang w:val="en-US" w:eastAsia="zh-CN"/>
        </w:rPr>
        <w:t>3575.39</w:t>
      </w:r>
      <w:r>
        <w:rPr>
          <w:rFonts w:hint="eastAsia" w:ascii="仿宋" w:hAnsi="仿宋" w:eastAsia="仿宋" w:cs="宋体"/>
          <w:kern w:val="0"/>
          <w:lang w:val="zh-CN"/>
        </w:rPr>
        <w:t>万元，完成年初预算的</w:t>
      </w:r>
      <w:r>
        <w:rPr>
          <w:rFonts w:hint="eastAsia" w:ascii="仿宋" w:hAnsi="仿宋" w:eastAsia="仿宋" w:cs="宋体"/>
          <w:kern w:val="0"/>
          <w:lang w:val="en-US" w:eastAsia="zh-CN"/>
        </w:rPr>
        <w:t>295.88</w:t>
      </w:r>
      <w:r>
        <w:rPr>
          <w:rFonts w:hint="eastAsia" w:ascii="仿宋" w:hAnsi="仿宋" w:eastAsia="仿宋" w:cs="宋体"/>
          <w:kern w:val="0"/>
          <w:lang w:val="zh-CN"/>
        </w:rPr>
        <w:t>%。其中：</w:t>
      </w:r>
    </w:p>
    <w:p>
      <w:pPr>
        <w:widowControl w:val="0"/>
        <w:wordWrap/>
        <w:adjustRightInd w:val="0"/>
        <w:snapToGrid w:val="0"/>
        <w:spacing w:line="360" w:lineRule="auto"/>
        <w:ind w:firstLine="640" w:firstLineChars="200"/>
        <w:textAlignment w:val="auto"/>
        <w:rPr>
          <w:rFonts w:hint="default" w:ascii="宋体" w:hAnsi="宋体" w:eastAsia="仿宋_GB2312"/>
          <w:highlight w:val="none"/>
          <w:lang w:val="en-US" w:eastAsia="zh-CN"/>
        </w:rPr>
      </w:pPr>
      <w:r>
        <w:rPr>
          <w:rFonts w:hint="eastAsia" w:ascii="仿宋" w:hAnsi="仿宋" w:eastAsia="仿宋" w:cs="宋体"/>
          <w:kern w:val="0"/>
          <w:highlight w:val="none"/>
          <w:lang w:val="zh-CN"/>
        </w:rPr>
        <w:t>1.</w:t>
      </w:r>
      <w:r>
        <w:rPr>
          <w:rFonts w:hint="eastAsia" w:ascii="宋体" w:hAnsi="宋体"/>
          <w:highlight w:val="none"/>
          <w:lang w:val="zh-CN"/>
        </w:rPr>
        <w:t>一般公共服务（类）纪检监察事务</w:t>
      </w:r>
      <w:r>
        <w:rPr>
          <w:rFonts w:hint="eastAsia" w:ascii="宋体" w:hAnsi="宋体"/>
          <w:highlight w:val="none"/>
          <w:lang w:val="en-US" w:eastAsia="zh-CN"/>
        </w:rPr>
        <w:t>(款)派驻派出机构（项）</w:t>
      </w:r>
      <w:r>
        <w:rPr>
          <w:rFonts w:hint="eastAsia" w:ascii="宋体" w:hAnsi="宋体"/>
          <w:highlight w:val="none"/>
          <w:lang w:val="zh-CN"/>
        </w:rPr>
        <w:t>支出</w:t>
      </w:r>
    </w:p>
    <w:p>
      <w:pPr>
        <w:widowControl w:val="0"/>
        <w:wordWrap/>
        <w:adjustRightInd w:val="0"/>
        <w:snapToGrid w:val="0"/>
        <w:spacing w:line="360" w:lineRule="auto"/>
        <w:ind w:firstLine="640" w:firstLineChars="200"/>
        <w:textAlignment w:val="auto"/>
        <w:rPr>
          <w:rFonts w:ascii="仿宋" w:hAnsi="仿宋" w:eastAsia="仿宋" w:cs="宋体"/>
          <w:color w:val="FF0000"/>
          <w:kern w:val="0"/>
          <w:highlight w:val="none"/>
          <w:lang w:val="zh-CN"/>
        </w:rPr>
      </w:pPr>
      <w:r>
        <w:rPr>
          <w:rFonts w:hint="eastAsia" w:ascii="仿宋" w:hAnsi="仿宋" w:eastAsia="仿宋" w:cs="宋体"/>
          <w:kern w:val="0"/>
          <w:highlight w:val="none"/>
          <w:lang w:val="zh-CN"/>
        </w:rPr>
        <w:t>年初预算为</w:t>
      </w:r>
      <w:r>
        <w:rPr>
          <w:rFonts w:ascii="仿宋" w:hAnsi="仿宋" w:eastAsia="仿宋" w:cs="宋体"/>
          <w:kern w:val="0"/>
          <w:highlight w:val="none"/>
          <w:lang w:val="zh-CN"/>
        </w:rPr>
        <w:t>21.4</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4.13</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19.30</w:t>
      </w:r>
      <w:r>
        <w:rPr>
          <w:rFonts w:hint="eastAsia" w:ascii="仿宋" w:hAnsi="仿宋" w:eastAsia="仿宋" w:cs="宋体"/>
          <w:kern w:val="0"/>
          <w:highlight w:val="none"/>
          <w:lang w:val="zh-CN"/>
        </w:rPr>
        <w:t>%。决算数与年初预算数存在差异的主要原因是</w:t>
      </w:r>
      <w:r>
        <w:rPr>
          <w:rFonts w:hint="eastAsia" w:ascii="仿宋_GB2312" w:eastAsia="仿宋_GB2312"/>
          <w:sz w:val="32"/>
          <w:szCs w:val="32"/>
          <w:lang w:eastAsia="zh-CN"/>
        </w:rPr>
        <w:t>受新冠疫情影响</w:t>
      </w:r>
      <w:r>
        <w:rPr>
          <w:rFonts w:hint="eastAsia" w:ascii="仿宋_GB2312"/>
          <w:sz w:val="32"/>
          <w:szCs w:val="32"/>
          <w:lang w:eastAsia="zh-CN"/>
        </w:rPr>
        <w:t>，资金紧张，支出减少</w:t>
      </w:r>
      <w:r>
        <w:rPr>
          <w:rFonts w:hint="eastAsia" w:ascii="仿宋" w:hAnsi="仿宋" w:eastAsia="仿宋" w:cs="宋体"/>
          <w:kern w:val="0"/>
          <w:highlight w:val="none"/>
          <w:lang w:val="zh-CN"/>
        </w:rPr>
        <w:t>。</w:t>
      </w:r>
    </w:p>
    <w:p>
      <w:pPr>
        <w:widowControl w:val="0"/>
        <w:numPr>
          <w:ilvl w:val="0"/>
          <w:numId w:val="0"/>
        </w:numPr>
        <w:wordWrap/>
        <w:adjustRightInd w:val="0"/>
        <w:snapToGrid w:val="0"/>
        <w:spacing w:line="360" w:lineRule="auto"/>
        <w:ind w:firstLine="640" w:firstLineChars="200"/>
        <w:textAlignment w:val="auto"/>
        <w:rPr>
          <w:rFonts w:hint="eastAsia" w:ascii="宋体" w:hAnsi="宋体"/>
          <w:highlight w:val="none"/>
          <w:lang w:val="zh-CN"/>
        </w:rPr>
      </w:pPr>
      <w:r>
        <w:rPr>
          <w:rFonts w:hint="eastAsia" w:ascii="宋体" w:hAnsi="宋体"/>
          <w:highlight w:val="none"/>
          <w:lang w:val="en-US" w:eastAsia="zh-CN"/>
        </w:rPr>
        <w:t>2.</w:t>
      </w:r>
      <w:r>
        <w:rPr>
          <w:rFonts w:hint="eastAsia" w:ascii="宋体" w:hAnsi="宋体"/>
          <w:highlight w:val="none"/>
          <w:lang w:val="zh-CN"/>
        </w:rPr>
        <w:t>社会保障和就业（类）行政事业单位养老支出（款）行政单位离退休（项）支出</w:t>
      </w:r>
    </w:p>
    <w:p>
      <w:pPr>
        <w:widowControl w:val="0"/>
        <w:numPr>
          <w:ilvl w:val="0"/>
          <w:numId w:val="0"/>
        </w:numPr>
        <w:wordWrap/>
        <w:adjustRightInd w:val="0"/>
        <w:snapToGrid w:val="0"/>
        <w:spacing w:line="360" w:lineRule="auto"/>
        <w:ind w:firstLine="640" w:firstLineChars="200"/>
        <w:textAlignment w:val="auto"/>
        <w:rPr>
          <w:rFonts w:hint="default" w:ascii="宋体" w:hAnsi="宋体" w:eastAsia="仿宋"/>
          <w:highlight w:val="none"/>
          <w:lang w:val="en-US" w:eastAsia="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51.51</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80.70</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156.67</w:t>
      </w:r>
      <w:r>
        <w:rPr>
          <w:rFonts w:hint="eastAsia" w:ascii="仿宋" w:hAnsi="仿宋" w:eastAsia="仿宋" w:cs="宋体"/>
          <w:kern w:val="0"/>
          <w:highlight w:val="none"/>
          <w:lang w:val="zh-CN"/>
        </w:rPr>
        <w:t>%。决算数与年初预算数存在差异的主要原因是</w:t>
      </w:r>
      <w:r>
        <w:rPr>
          <w:rFonts w:hint="eastAsia" w:ascii="仿宋" w:hAnsi="仿宋" w:eastAsia="仿宋" w:cs="宋体"/>
          <w:kern w:val="0"/>
          <w:highlight w:val="none"/>
          <w:lang w:val="en-US" w:eastAsia="zh-CN"/>
        </w:rPr>
        <w:t>2021年度退休人员增加，</w:t>
      </w:r>
      <w:r>
        <w:rPr>
          <w:rFonts w:hint="eastAsia" w:ascii="宋体" w:hAnsi="宋体"/>
          <w:highlight w:val="none"/>
          <w:lang w:val="zh-CN"/>
        </w:rPr>
        <w:t>行政单位离退休支出增加</w:t>
      </w:r>
      <w:r>
        <w:rPr>
          <w:rFonts w:hint="eastAsia" w:ascii="仿宋" w:hAnsi="仿宋" w:eastAsia="仿宋" w:cs="宋体"/>
          <w:kern w:val="0"/>
          <w:highlight w:val="none"/>
          <w:lang w:val="en-US" w:eastAsia="zh-CN"/>
        </w:rPr>
        <w:t>。</w:t>
      </w:r>
    </w:p>
    <w:p>
      <w:pPr>
        <w:widowControl w:val="0"/>
        <w:wordWrap/>
        <w:adjustRightInd w:val="0"/>
        <w:snapToGrid w:val="0"/>
        <w:spacing w:line="360" w:lineRule="auto"/>
        <w:ind w:firstLine="640" w:firstLineChars="200"/>
        <w:textAlignment w:val="auto"/>
        <w:rPr>
          <w:rFonts w:hint="eastAsia" w:ascii="宋体" w:hAnsi="宋体"/>
          <w:highlight w:val="none"/>
          <w:lang w:val="zh-CN"/>
        </w:rPr>
      </w:pPr>
      <w:r>
        <w:rPr>
          <w:rFonts w:hint="eastAsia" w:ascii="宋体" w:hAnsi="宋体"/>
          <w:highlight w:val="none"/>
          <w:lang w:val="en-US" w:eastAsia="zh-CN"/>
        </w:rPr>
        <w:t>3.</w:t>
      </w:r>
      <w:r>
        <w:rPr>
          <w:rFonts w:hint="eastAsia" w:ascii="宋体" w:hAnsi="宋体"/>
          <w:highlight w:val="none"/>
          <w:lang w:val="zh-CN"/>
        </w:rPr>
        <w:t>社会保障和就业（类）行政事业单位养老支出（款）机关事业单位基本养老保险缴费支出（项）支出</w:t>
      </w:r>
    </w:p>
    <w:p>
      <w:pPr>
        <w:widowControl w:val="0"/>
        <w:wordWrap/>
        <w:adjustRightInd w:val="0"/>
        <w:snapToGrid w:val="0"/>
        <w:spacing w:line="360" w:lineRule="auto"/>
        <w:ind w:firstLine="640" w:firstLineChars="200"/>
        <w:textAlignment w:val="auto"/>
        <w:rPr>
          <w:rFonts w:hint="eastAsia" w:ascii="宋体" w:hAnsi="宋体"/>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59.07</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64.27</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108.08</w:t>
      </w:r>
      <w:r>
        <w:rPr>
          <w:rFonts w:hint="eastAsia" w:ascii="仿宋" w:hAnsi="仿宋" w:eastAsia="仿宋" w:cs="宋体"/>
          <w:kern w:val="0"/>
          <w:highlight w:val="none"/>
          <w:lang w:val="zh-CN"/>
        </w:rPr>
        <w:t>%。决算数与年初预算数存在差异的主要原因是年末在职人数多于年初报预算时的人数，人员变动导致支出增加。</w:t>
      </w:r>
    </w:p>
    <w:p>
      <w:pPr>
        <w:widowControl w:val="0"/>
        <w:wordWrap/>
        <w:adjustRightInd w:val="0"/>
        <w:snapToGrid w:val="0"/>
        <w:spacing w:line="360" w:lineRule="auto"/>
        <w:ind w:firstLine="640" w:firstLineChars="200"/>
        <w:textAlignment w:val="auto"/>
        <w:rPr>
          <w:rFonts w:hint="eastAsia" w:ascii="宋体" w:hAnsi="宋体"/>
          <w:highlight w:val="none"/>
          <w:lang w:val="zh-CN"/>
        </w:rPr>
      </w:pPr>
      <w:r>
        <w:rPr>
          <w:rFonts w:hint="eastAsia" w:ascii="宋体" w:hAnsi="宋体"/>
          <w:highlight w:val="none"/>
          <w:lang w:val="en-US" w:eastAsia="zh-CN"/>
        </w:rPr>
        <w:t>4.</w:t>
      </w:r>
      <w:r>
        <w:rPr>
          <w:rFonts w:hint="eastAsia" w:ascii="宋体" w:hAnsi="宋体"/>
          <w:highlight w:val="none"/>
          <w:lang w:val="zh-CN"/>
        </w:rPr>
        <w:t>社会保障和就业（类）抚恤（款）死亡抚恤（项）支出</w:t>
      </w:r>
    </w:p>
    <w:p>
      <w:pPr>
        <w:widowControl w:val="0"/>
        <w:wordWrap/>
        <w:adjustRightInd w:val="0"/>
        <w:snapToGrid w:val="0"/>
        <w:spacing w:line="360" w:lineRule="auto"/>
        <w:ind w:firstLine="640" w:firstLineChars="200"/>
        <w:textAlignment w:val="auto"/>
        <w:rPr>
          <w:rFonts w:hint="eastAsia" w:ascii="宋体" w:hAnsi="宋体"/>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0.82</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0.84</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102.44</w:t>
      </w:r>
      <w:r>
        <w:rPr>
          <w:rFonts w:hint="eastAsia" w:ascii="仿宋" w:hAnsi="仿宋" w:eastAsia="仿宋" w:cs="宋体"/>
          <w:kern w:val="0"/>
          <w:highlight w:val="none"/>
          <w:lang w:val="zh-CN"/>
        </w:rPr>
        <w:t>%。决算数与年初预算数存在差异的主要原因是死亡</w:t>
      </w:r>
      <w:r>
        <w:rPr>
          <w:rFonts w:hint="eastAsia" w:ascii="宋体" w:hAnsi="宋体"/>
          <w:highlight w:val="none"/>
          <w:lang w:val="zh-CN"/>
        </w:rPr>
        <w:t>抚恤费用标准调整，因此支出增加</w:t>
      </w:r>
      <w:r>
        <w:rPr>
          <w:rFonts w:hint="eastAsia" w:ascii="仿宋" w:hAnsi="仿宋" w:eastAsia="仿宋" w:cs="宋体"/>
          <w:kern w:val="0"/>
          <w:highlight w:val="none"/>
          <w:lang w:val="zh-CN"/>
        </w:rPr>
        <w:t>。</w:t>
      </w:r>
    </w:p>
    <w:p>
      <w:pPr>
        <w:widowControl w:val="0"/>
        <w:numPr>
          <w:ilvl w:val="0"/>
          <w:numId w:val="0"/>
        </w:numPr>
        <w:wordWrap/>
        <w:adjustRightInd w:val="0"/>
        <w:snapToGrid w:val="0"/>
        <w:spacing w:line="360" w:lineRule="auto"/>
        <w:ind w:firstLine="640" w:firstLineChars="200"/>
        <w:textAlignment w:val="auto"/>
        <w:rPr>
          <w:rFonts w:hint="eastAsia" w:ascii="宋体" w:hAnsi="宋体"/>
          <w:highlight w:val="none"/>
          <w:lang w:val="zh-CN"/>
        </w:rPr>
      </w:pPr>
      <w:r>
        <w:rPr>
          <w:rFonts w:hint="eastAsia" w:ascii="宋体" w:hAnsi="宋体"/>
          <w:highlight w:val="none"/>
          <w:lang w:val="en-US" w:eastAsia="zh-CN"/>
        </w:rPr>
        <w:t>5.</w:t>
      </w:r>
      <w:r>
        <w:rPr>
          <w:rFonts w:hint="eastAsia" w:ascii="宋体" w:hAnsi="宋体"/>
          <w:highlight w:val="none"/>
          <w:lang w:val="zh-CN"/>
        </w:rPr>
        <w:t>卫生健康（类）行政事业单位医疗（款）行政单位医疗（项）支出</w:t>
      </w:r>
    </w:p>
    <w:p>
      <w:pPr>
        <w:widowControl w:val="0"/>
        <w:numPr>
          <w:ilvl w:val="0"/>
          <w:numId w:val="0"/>
        </w:numPr>
        <w:wordWrap/>
        <w:adjustRightInd w:val="0"/>
        <w:snapToGrid w:val="0"/>
        <w:spacing w:line="360" w:lineRule="auto"/>
        <w:ind w:firstLine="640" w:firstLineChars="200"/>
        <w:textAlignment w:val="auto"/>
        <w:rPr>
          <w:rFonts w:hint="eastAsia" w:ascii="宋体" w:hAnsi="宋体"/>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45.22</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45.43</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100.46</w:t>
      </w:r>
      <w:r>
        <w:rPr>
          <w:rFonts w:hint="eastAsia" w:ascii="仿宋" w:hAnsi="仿宋" w:eastAsia="仿宋" w:cs="宋体"/>
          <w:kern w:val="0"/>
          <w:highlight w:val="none"/>
          <w:lang w:val="zh-CN"/>
        </w:rPr>
        <w:t>%。决算数与年初预算数存在差异的主要原因是年末在职人数超过年初报预算时的人数，人员变动导致支出</w:t>
      </w:r>
      <w:r>
        <w:rPr>
          <w:rFonts w:hint="eastAsia" w:ascii="宋体" w:hAnsi="宋体"/>
          <w:highlight w:val="none"/>
          <w:lang w:val="zh-CN"/>
        </w:rPr>
        <w:t>增加</w:t>
      </w:r>
      <w:r>
        <w:rPr>
          <w:rFonts w:hint="eastAsia" w:ascii="仿宋" w:hAnsi="仿宋" w:eastAsia="仿宋" w:cs="宋体"/>
          <w:kern w:val="0"/>
          <w:highlight w:val="none"/>
          <w:lang w:val="zh-CN"/>
        </w:rPr>
        <w:t>。</w:t>
      </w:r>
    </w:p>
    <w:p>
      <w:pPr>
        <w:widowControl w:val="0"/>
        <w:numPr>
          <w:ilvl w:val="0"/>
          <w:numId w:val="0"/>
        </w:numPr>
        <w:wordWrap/>
        <w:adjustRightInd w:val="0"/>
        <w:snapToGrid w:val="0"/>
        <w:spacing w:line="360" w:lineRule="auto"/>
        <w:ind w:firstLine="640" w:firstLineChars="200"/>
        <w:textAlignment w:val="auto"/>
        <w:rPr>
          <w:rFonts w:hint="eastAsia" w:ascii="宋体" w:hAnsi="宋体"/>
          <w:highlight w:val="none"/>
          <w:lang w:val="zh-CN"/>
        </w:rPr>
      </w:pPr>
      <w:r>
        <w:rPr>
          <w:rFonts w:hint="eastAsia" w:ascii="宋体" w:hAnsi="宋体"/>
          <w:highlight w:val="none"/>
          <w:lang w:val="en-US" w:eastAsia="zh-CN"/>
        </w:rPr>
        <w:t>6.</w:t>
      </w:r>
      <w:r>
        <w:rPr>
          <w:rFonts w:hint="eastAsia" w:ascii="宋体" w:hAnsi="宋体"/>
          <w:highlight w:val="none"/>
          <w:lang w:val="zh-CN"/>
        </w:rPr>
        <w:t>城乡社区（类）城乡社区管理事务（款）行政运行（项）支出</w:t>
      </w:r>
    </w:p>
    <w:p>
      <w:pPr>
        <w:widowControl w:val="0"/>
        <w:numPr>
          <w:ilvl w:val="0"/>
          <w:numId w:val="0"/>
        </w:numPr>
        <w:wordWrap/>
        <w:adjustRightInd w:val="0"/>
        <w:snapToGrid w:val="0"/>
        <w:spacing w:line="360" w:lineRule="auto"/>
        <w:ind w:firstLine="640" w:firstLineChars="200"/>
        <w:textAlignment w:val="auto"/>
        <w:rPr>
          <w:rFonts w:hint="eastAsia" w:ascii="仿宋" w:hAnsi="仿宋" w:eastAsia="仿宋" w:cs="宋体"/>
          <w:kern w:val="0"/>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1.75</w:t>
      </w:r>
      <w:r>
        <w:rPr>
          <w:rFonts w:hint="eastAsia" w:ascii="仿宋" w:hAnsi="仿宋" w:eastAsia="仿宋" w:cs="宋体"/>
          <w:kern w:val="0"/>
          <w:highlight w:val="none"/>
          <w:lang w:val="zh-CN"/>
        </w:rPr>
        <w:t>万元。决算数与年初预算数存在差异的主要原因是对部分项目科目进行调整，因此支出增加。</w:t>
      </w:r>
    </w:p>
    <w:p>
      <w:pPr>
        <w:widowControl w:val="0"/>
        <w:numPr>
          <w:ilvl w:val="0"/>
          <w:numId w:val="0"/>
        </w:numPr>
        <w:wordWrap/>
        <w:adjustRightInd w:val="0"/>
        <w:snapToGrid w:val="0"/>
        <w:spacing w:line="360" w:lineRule="auto"/>
        <w:ind w:firstLine="640" w:firstLineChars="200"/>
        <w:textAlignment w:val="auto"/>
        <w:rPr>
          <w:rFonts w:hint="eastAsia" w:ascii="宋体" w:hAnsi="宋体"/>
          <w:highlight w:val="none"/>
          <w:lang w:val="zh-CN"/>
        </w:rPr>
      </w:pPr>
      <w:r>
        <w:rPr>
          <w:rFonts w:hint="eastAsia" w:ascii="仿宋" w:hAnsi="仿宋" w:eastAsia="仿宋" w:cs="宋体"/>
          <w:kern w:val="0"/>
          <w:highlight w:val="none"/>
          <w:lang w:val="en-US" w:eastAsia="zh-CN"/>
        </w:rPr>
        <w:t>7.</w:t>
      </w:r>
      <w:r>
        <w:rPr>
          <w:rFonts w:hint="eastAsia" w:ascii="宋体" w:hAnsi="宋体"/>
          <w:highlight w:val="none"/>
          <w:lang w:val="zh-CN"/>
        </w:rPr>
        <w:t>城乡社区（类）城乡社区管理事务（款）一般行政管理事务（项）支出</w:t>
      </w:r>
    </w:p>
    <w:p>
      <w:pPr>
        <w:widowControl w:val="0"/>
        <w:numPr>
          <w:ilvl w:val="0"/>
          <w:numId w:val="0"/>
        </w:numPr>
        <w:wordWrap/>
        <w:adjustRightInd w:val="0"/>
        <w:snapToGrid w:val="0"/>
        <w:spacing w:line="360" w:lineRule="auto"/>
        <w:ind w:firstLine="640" w:firstLineChars="200"/>
        <w:textAlignment w:val="auto"/>
        <w:rPr>
          <w:rFonts w:hint="default" w:ascii="仿宋" w:hAnsi="仿宋" w:eastAsia="仿宋" w:cs="宋体"/>
          <w:kern w:val="0"/>
          <w:highlight w:val="none"/>
          <w:lang w:val="en-US" w:eastAsia="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1000.00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197.62</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19.76</w:t>
      </w:r>
      <w:r>
        <w:rPr>
          <w:rFonts w:hint="eastAsia" w:ascii="仿宋" w:hAnsi="仿宋" w:eastAsia="仿宋" w:cs="宋体"/>
          <w:kern w:val="0"/>
          <w:highlight w:val="none"/>
          <w:lang w:val="zh-CN"/>
        </w:rPr>
        <w:t>%。决算数与年初预算数存在差异的主要原因是纳入预算管理的行政事业项目由于的单位收入未达到预算目标值，导致经费不足，因此支出减少。</w:t>
      </w:r>
    </w:p>
    <w:p>
      <w:pPr>
        <w:widowControl w:val="0"/>
        <w:numPr>
          <w:ilvl w:val="0"/>
          <w:numId w:val="0"/>
        </w:numPr>
        <w:wordWrap/>
        <w:adjustRightInd w:val="0"/>
        <w:snapToGrid w:val="0"/>
        <w:spacing w:line="360" w:lineRule="auto"/>
        <w:ind w:firstLine="640" w:firstLineChars="200"/>
        <w:textAlignment w:val="auto"/>
        <w:rPr>
          <w:rFonts w:hint="eastAsia" w:ascii="宋体" w:hAnsi="宋体"/>
          <w:highlight w:val="none"/>
          <w:lang w:val="zh-CN"/>
        </w:rPr>
      </w:pPr>
      <w:r>
        <w:rPr>
          <w:rFonts w:hint="eastAsia" w:ascii="宋体" w:hAnsi="宋体"/>
          <w:highlight w:val="none"/>
          <w:lang w:val="en-US" w:eastAsia="zh-CN"/>
        </w:rPr>
        <w:t>8.</w:t>
      </w:r>
      <w:r>
        <w:rPr>
          <w:rFonts w:hint="eastAsia" w:ascii="宋体" w:hAnsi="宋体"/>
          <w:highlight w:val="none"/>
          <w:lang w:val="zh-CN"/>
        </w:rPr>
        <w:t>城乡社区（类）城乡社区规划与管理（款）城乡社区规划与管理（项）支出</w:t>
      </w:r>
    </w:p>
    <w:p>
      <w:pPr>
        <w:widowControl w:val="0"/>
        <w:numPr>
          <w:ilvl w:val="0"/>
          <w:numId w:val="0"/>
        </w:numPr>
        <w:wordWrap/>
        <w:adjustRightInd w:val="0"/>
        <w:snapToGrid w:val="0"/>
        <w:spacing w:line="360" w:lineRule="auto"/>
        <w:ind w:firstLine="640" w:firstLineChars="200"/>
        <w:textAlignment w:val="auto"/>
        <w:rPr>
          <w:rFonts w:hint="eastAsia" w:ascii="仿宋" w:hAnsi="仿宋" w:eastAsia="仿宋" w:cs="宋体"/>
          <w:kern w:val="0"/>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70.40</w:t>
      </w:r>
      <w:r>
        <w:rPr>
          <w:rFonts w:hint="eastAsia" w:ascii="仿宋" w:hAnsi="仿宋" w:eastAsia="仿宋" w:cs="宋体"/>
          <w:kern w:val="0"/>
          <w:highlight w:val="none"/>
          <w:lang w:val="zh-CN"/>
        </w:rPr>
        <w:t>万元。决算数与年初预算数存在差异的主要原因是对部分项目科目进行调整，因此支出增加。</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9.</w:t>
      </w:r>
      <w:r>
        <w:rPr>
          <w:rFonts w:hint="eastAsia" w:ascii="宋体" w:hAnsi="宋体"/>
          <w:highlight w:val="none"/>
          <w:lang w:val="zh-CN"/>
        </w:rPr>
        <w:t>农林水支出（类）</w:t>
      </w:r>
      <w:r>
        <w:rPr>
          <w:rFonts w:hint="eastAsia" w:ascii="宋体" w:hAnsi="宋体"/>
          <w:highlight w:val="none"/>
          <w:lang w:val="en-US" w:eastAsia="zh-CN"/>
        </w:rPr>
        <w:t>扶贫</w:t>
      </w:r>
      <w:r>
        <w:rPr>
          <w:rFonts w:hint="eastAsia" w:ascii="宋体" w:hAnsi="宋体"/>
          <w:highlight w:val="none"/>
          <w:lang w:val="zh-CN"/>
        </w:rPr>
        <w:t>（款）</w:t>
      </w:r>
      <w:r>
        <w:rPr>
          <w:rFonts w:hint="eastAsia" w:ascii="宋体" w:hAnsi="宋体"/>
          <w:highlight w:val="none"/>
          <w:lang w:val="en-US" w:eastAsia="zh-CN"/>
        </w:rPr>
        <w:t>其他扶贫</w:t>
      </w:r>
      <w:r>
        <w:rPr>
          <w:rFonts w:hint="eastAsia" w:ascii="宋体" w:hAnsi="宋体"/>
          <w:highlight w:val="none"/>
          <w:lang w:val="zh-CN"/>
        </w:rPr>
        <w:t>（项）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25.69</w:t>
      </w:r>
      <w:r>
        <w:rPr>
          <w:rFonts w:hint="eastAsia" w:ascii="仿宋" w:hAnsi="仿宋" w:eastAsia="仿宋" w:cs="宋体"/>
          <w:kern w:val="0"/>
          <w:highlight w:val="none"/>
          <w:lang w:val="zh-CN"/>
        </w:rPr>
        <w:t>万元。决算数与年初预算数存在差异的主要原因是驻村工作经费、生活补助为财政直接下达经费。</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10.自然资源海洋气象等支出</w:t>
      </w:r>
      <w:r>
        <w:rPr>
          <w:rFonts w:hint="eastAsia" w:ascii="宋体" w:hAnsi="宋体"/>
          <w:highlight w:val="none"/>
          <w:lang w:val="zh-CN"/>
        </w:rPr>
        <w:t>（类）自然资源事务（款）行政运行（项）</w:t>
      </w:r>
      <w:r>
        <w:rPr>
          <w:rFonts w:hint="eastAsia" w:ascii="宋体" w:hAnsi="宋体"/>
          <w:highlight w:val="none"/>
          <w:lang w:val="en-US" w:eastAsia="zh-CN"/>
        </w:rPr>
        <w:t>支出</w:t>
      </w:r>
    </w:p>
    <w:p>
      <w:pPr>
        <w:widowControl w:val="0"/>
        <w:numPr>
          <w:ilvl w:val="0"/>
          <w:numId w:val="0"/>
        </w:numPr>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仿宋" w:hAnsi="仿宋" w:eastAsia="仿宋" w:cs="宋体"/>
          <w:kern w:val="0"/>
          <w:highlight w:val="none"/>
          <w:lang w:val="zh-CN"/>
        </w:rPr>
        <w:t>初预算为</w:t>
      </w:r>
      <w:r>
        <w:rPr>
          <w:rFonts w:hint="eastAsia" w:ascii="仿宋" w:hAnsi="仿宋" w:eastAsia="仿宋" w:cs="宋体"/>
          <w:kern w:val="0"/>
          <w:highlight w:val="none"/>
          <w:lang w:val="en-US" w:eastAsia="zh-CN"/>
        </w:rPr>
        <w:t>670.05</w:t>
      </w:r>
      <w:r>
        <w:rPr>
          <w:rFonts w:hint="eastAsia" w:ascii="仿宋" w:hAnsi="仿宋" w:eastAsia="仿宋" w:cs="宋体"/>
          <w:kern w:val="0"/>
          <w:highlight w:val="none"/>
          <w:lang w:val="zh-CN"/>
        </w:rPr>
        <w:t>万元，支出决算为</w:t>
      </w:r>
      <w:r>
        <w:rPr>
          <w:rFonts w:hint="eastAsia" w:ascii="宋体" w:hAnsi="宋体"/>
          <w:highlight w:val="none"/>
          <w:lang w:val="en-US" w:eastAsia="zh-CN"/>
        </w:rPr>
        <w:t>785.56</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117.24</w:t>
      </w:r>
      <w:r>
        <w:rPr>
          <w:rFonts w:hint="eastAsia" w:ascii="仿宋" w:hAnsi="仿宋" w:eastAsia="仿宋" w:cs="宋体"/>
          <w:kern w:val="0"/>
          <w:highlight w:val="none"/>
          <w:lang w:val="zh-CN"/>
        </w:rPr>
        <w:t>%。决算数与年初预算数存在差异的主要原因是年末在职人数超过年初报预算时的人数，人员变动导致支出增加。</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11.自然资源海洋气象等支出</w:t>
      </w:r>
      <w:r>
        <w:rPr>
          <w:rFonts w:hint="eastAsia" w:ascii="宋体" w:hAnsi="宋体"/>
          <w:highlight w:val="none"/>
          <w:lang w:val="zh-CN"/>
        </w:rPr>
        <w:t>（类）自然资源事务（款）一般行政管理事务（项）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eastAsia" w:ascii="宋体" w:hAnsi="宋体"/>
          <w:highlight w:val="none"/>
          <w:lang w:val="zh-CN" w:eastAsia="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266.00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211.04</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79.34</w:t>
      </w:r>
      <w:r>
        <w:rPr>
          <w:rFonts w:hint="eastAsia" w:ascii="仿宋" w:hAnsi="仿宋" w:eastAsia="仿宋" w:cs="宋体"/>
          <w:kern w:val="0"/>
          <w:highlight w:val="none"/>
          <w:lang w:val="zh-CN"/>
        </w:rPr>
        <w:t>%。决算数与年初预算数存在差异的主要原因是</w:t>
      </w:r>
      <w:r>
        <w:rPr>
          <w:rFonts w:hint="eastAsia" w:ascii="仿宋_GB2312" w:eastAsia="仿宋_GB2312"/>
          <w:sz w:val="32"/>
          <w:szCs w:val="32"/>
          <w:lang w:eastAsia="zh-CN"/>
        </w:rPr>
        <w:t>受新冠疫情影响</w:t>
      </w:r>
      <w:r>
        <w:rPr>
          <w:rFonts w:hint="eastAsia" w:ascii="仿宋_GB2312"/>
          <w:sz w:val="32"/>
          <w:szCs w:val="32"/>
          <w:lang w:eastAsia="zh-CN"/>
        </w:rPr>
        <w:t>，资金紧张，</w:t>
      </w:r>
      <w:r>
        <w:rPr>
          <w:rFonts w:hint="eastAsia" w:ascii="仿宋" w:hAnsi="仿宋" w:eastAsia="仿宋" w:cs="宋体"/>
          <w:kern w:val="0"/>
          <w:highlight w:val="none"/>
          <w:lang w:val="zh-CN"/>
        </w:rPr>
        <w:t>因此支出减少。</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12.自然资源海洋气象等支出</w:t>
      </w:r>
      <w:r>
        <w:rPr>
          <w:rFonts w:hint="eastAsia" w:ascii="宋体" w:hAnsi="宋体"/>
          <w:highlight w:val="none"/>
          <w:lang w:val="zh-CN"/>
        </w:rPr>
        <w:t>（类）自然资源事务（款）自然资源规划及管理（项）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eastAsia" w:ascii="仿宋" w:hAnsi="仿宋" w:eastAsia="仿宋" w:cs="宋体"/>
          <w:kern w:val="0"/>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1968.48</w:t>
      </w:r>
      <w:r>
        <w:rPr>
          <w:rFonts w:hint="eastAsia" w:ascii="仿宋" w:hAnsi="仿宋" w:eastAsia="仿宋" w:cs="宋体"/>
          <w:kern w:val="0"/>
          <w:highlight w:val="none"/>
          <w:lang w:val="zh-CN"/>
        </w:rPr>
        <w:t>万元。决算数与年初预算数存在差异的主要原因是决算数与年初预算数存在差异的主要原因是对部分项目科目进行调整，因此支出增加。</w:t>
      </w:r>
    </w:p>
    <w:p>
      <w:pPr>
        <w:widowControl w:val="0"/>
        <w:numPr>
          <w:ilvl w:val="0"/>
          <w:numId w:val="0"/>
        </w:numPr>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13.自然资源海洋气象等支出</w:t>
      </w:r>
      <w:r>
        <w:rPr>
          <w:rFonts w:hint="eastAsia" w:ascii="宋体" w:hAnsi="宋体"/>
          <w:highlight w:val="none"/>
          <w:lang w:val="zh-CN"/>
        </w:rPr>
        <w:t>（类）自然资源事务（款）自然资源利用与保护（项）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default" w:ascii="宋体" w:hAnsi="宋体"/>
          <w:highlight w:val="none"/>
          <w:lang w:val="en-US" w:eastAsia="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20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20</w:t>
      </w:r>
      <w:r>
        <w:rPr>
          <w:rFonts w:hint="eastAsia" w:ascii="仿宋" w:hAnsi="仿宋" w:eastAsia="仿宋" w:cs="宋体"/>
          <w:kern w:val="0"/>
          <w:highlight w:val="none"/>
          <w:lang w:val="zh-CN"/>
        </w:rPr>
        <w:t>万元。决算数与年初预算数一致。</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14.自然资源海洋气象等支出</w:t>
      </w:r>
      <w:r>
        <w:rPr>
          <w:rFonts w:hint="eastAsia" w:ascii="宋体" w:hAnsi="宋体"/>
          <w:highlight w:val="none"/>
          <w:lang w:val="zh-CN"/>
        </w:rPr>
        <w:t>（类）自然资源事务（款）自然资源调查与确权登记（项）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eastAsia" w:ascii="仿宋" w:hAnsi="仿宋" w:eastAsia="仿宋" w:cs="宋体"/>
          <w:kern w:val="0"/>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12.30</w:t>
      </w:r>
      <w:r>
        <w:rPr>
          <w:rFonts w:hint="eastAsia" w:ascii="仿宋" w:hAnsi="仿宋" w:eastAsia="仿宋" w:cs="宋体"/>
          <w:kern w:val="0"/>
          <w:highlight w:val="none"/>
          <w:lang w:val="zh-CN"/>
        </w:rPr>
        <w:t>万元。决算数与年初预算数存在差异的主要原因是是对部分项目科目进行调整，因此支出增加。</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15.自然资源海洋气象等支出</w:t>
      </w:r>
      <w:r>
        <w:rPr>
          <w:rFonts w:hint="eastAsia" w:ascii="宋体" w:hAnsi="宋体"/>
          <w:highlight w:val="none"/>
          <w:lang w:val="zh-CN"/>
        </w:rPr>
        <w:t>（类）自然资源事务（款）地质勘查与矿产资源管理（项）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eastAsia" w:ascii="仿宋" w:hAnsi="仿宋" w:eastAsia="仿宋" w:cs="宋体"/>
          <w:kern w:val="0"/>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30</w:t>
      </w:r>
      <w:r>
        <w:rPr>
          <w:rFonts w:hint="eastAsia" w:ascii="仿宋" w:hAnsi="仿宋" w:eastAsia="仿宋" w:cs="宋体"/>
          <w:kern w:val="0"/>
          <w:highlight w:val="none"/>
          <w:lang w:val="zh-CN"/>
        </w:rPr>
        <w:t>万元。决算数与年初预算数存在差异的主要原因是对部分项目科目进行调整，因此支出增加。</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16.自然资源海洋气象等支出</w:t>
      </w:r>
      <w:r>
        <w:rPr>
          <w:rFonts w:hint="eastAsia" w:ascii="宋体" w:hAnsi="宋体"/>
          <w:highlight w:val="none"/>
          <w:lang w:val="zh-CN"/>
        </w:rPr>
        <w:t>（类）自然资源事务（款）其他自然资源事务支出（项）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eastAsia" w:ascii="仿宋" w:hAnsi="仿宋" w:eastAsia="仿宋" w:cs="宋体"/>
          <w:kern w:val="0"/>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2.46</w:t>
      </w:r>
      <w:r>
        <w:rPr>
          <w:rFonts w:hint="eastAsia" w:ascii="仿宋" w:hAnsi="仿宋" w:eastAsia="仿宋" w:cs="宋体"/>
          <w:kern w:val="0"/>
          <w:highlight w:val="none"/>
          <w:lang w:val="zh-CN"/>
        </w:rPr>
        <w:t>万元。决算数与年初预算数存在差异的主要原因是对部分项目科目进行调整，因此支出增加。</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宋体" w:hAnsi="宋体"/>
          <w:highlight w:val="none"/>
          <w:lang w:val="en-US" w:eastAsia="zh-CN"/>
        </w:rPr>
        <w:t>17.</w:t>
      </w:r>
      <w:r>
        <w:rPr>
          <w:rFonts w:hint="eastAsia" w:ascii="宋体" w:hAnsi="宋体"/>
          <w:highlight w:val="none"/>
          <w:lang w:val="zh-CN"/>
        </w:rPr>
        <w:t>住房保障支出（类）住房改革支出（款）住房公积金（项）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eastAsia" w:ascii="仿宋" w:hAnsi="仿宋" w:eastAsia="仿宋" w:cs="宋体"/>
          <w:kern w:val="0"/>
          <w:highlight w:val="none"/>
          <w:lang w:val="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44.30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46.55</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105.08</w:t>
      </w:r>
      <w:r>
        <w:rPr>
          <w:rFonts w:hint="eastAsia" w:ascii="仿宋" w:hAnsi="仿宋" w:eastAsia="仿宋" w:cs="宋体"/>
          <w:kern w:val="0"/>
          <w:highlight w:val="none"/>
          <w:lang w:val="zh-CN"/>
        </w:rPr>
        <w:t>%。决算数与年初预算数存在差异的主要原因是年末在职人数超过年初报预算时的人数，人员变动，导致支出增加。</w:t>
      </w:r>
    </w:p>
    <w:p>
      <w:pPr>
        <w:widowControl w:val="0"/>
        <w:wordWrap/>
        <w:adjustRightInd w:val="0"/>
        <w:snapToGrid w:val="0"/>
        <w:spacing w:line="360" w:lineRule="auto"/>
        <w:ind w:firstLine="640" w:firstLineChars="200"/>
        <w:textAlignment w:val="auto"/>
        <w:rPr>
          <w:rFonts w:hint="eastAsia" w:ascii="宋体" w:hAnsi="宋体"/>
          <w:highlight w:val="none"/>
          <w:lang w:val="en-US" w:eastAsia="zh-CN"/>
        </w:rPr>
      </w:pPr>
      <w:r>
        <w:rPr>
          <w:rFonts w:hint="eastAsia" w:ascii="仿宋" w:hAnsi="仿宋" w:eastAsia="仿宋" w:cs="宋体"/>
          <w:kern w:val="0"/>
          <w:highlight w:val="none"/>
          <w:lang w:val="en-US" w:eastAsia="zh-CN"/>
        </w:rPr>
        <w:t>18.其他支出</w:t>
      </w:r>
      <w:r>
        <w:rPr>
          <w:rFonts w:hint="eastAsia" w:ascii="宋体" w:hAnsi="宋体"/>
          <w:highlight w:val="none"/>
          <w:lang w:val="zh-CN"/>
        </w:rPr>
        <w:t>（类）</w:t>
      </w:r>
      <w:r>
        <w:rPr>
          <w:rFonts w:hint="eastAsia" w:ascii="仿宋" w:hAnsi="仿宋" w:eastAsia="仿宋" w:cs="宋体"/>
          <w:kern w:val="0"/>
          <w:highlight w:val="none"/>
          <w:lang w:val="en-US" w:eastAsia="zh-CN"/>
        </w:rPr>
        <w:t>其他支出</w:t>
      </w:r>
      <w:r>
        <w:rPr>
          <w:rFonts w:hint="eastAsia" w:ascii="宋体" w:hAnsi="宋体"/>
          <w:highlight w:val="none"/>
          <w:lang w:val="zh-CN"/>
        </w:rPr>
        <w:t>（款）</w:t>
      </w:r>
      <w:r>
        <w:rPr>
          <w:rFonts w:hint="eastAsia" w:ascii="仿宋" w:hAnsi="仿宋" w:eastAsia="仿宋" w:cs="宋体"/>
          <w:kern w:val="0"/>
          <w:highlight w:val="none"/>
          <w:lang w:val="en-US" w:eastAsia="zh-CN"/>
        </w:rPr>
        <w:t>其他</w:t>
      </w:r>
      <w:r>
        <w:rPr>
          <w:rFonts w:hint="eastAsia" w:ascii="宋体" w:hAnsi="宋体"/>
          <w:highlight w:val="none"/>
          <w:lang w:val="zh-CN"/>
        </w:rPr>
        <w:t>（项）</w:t>
      </w:r>
      <w:r>
        <w:rPr>
          <w:rFonts w:hint="eastAsia" w:ascii="宋体" w:hAnsi="宋体"/>
          <w:highlight w:val="none"/>
          <w:lang w:val="en-US" w:eastAsia="zh-CN"/>
        </w:rPr>
        <w:t>支出</w:t>
      </w:r>
    </w:p>
    <w:p>
      <w:pPr>
        <w:widowControl w:val="0"/>
        <w:wordWrap/>
        <w:adjustRightInd w:val="0"/>
        <w:snapToGrid w:val="0"/>
        <w:spacing w:line="360" w:lineRule="auto"/>
        <w:ind w:firstLine="640" w:firstLineChars="200"/>
        <w:textAlignment w:val="auto"/>
        <w:rPr>
          <w:rFonts w:hint="default" w:ascii="仿宋" w:hAnsi="仿宋" w:eastAsia="仿宋" w:cs="宋体"/>
          <w:kern w:val="0"/>
          <w:highlight w:val="none"/>
          <w:lang w:val="en-US" w:eastAsia="zh-CN"/>
        </w:rPr>
      </w:pPr>
      <w:r>
        <w:rPr>
          <w:rFonts w:hint="eastAsia" w:ascii="仿宋" w:hAnsi="仿宋" w:eastAsia="仿宋" w:cs="宋体"/>
          <w:kern w:val="0"/>
          <w:highlight w:val="none"/>
          <w:lang w:val="zh-CN"/>
        </w:rPr>
        <w:t>年初预算为</w:t>
      </w:r>
      <w:r>
        <w:rPr>
          <w:rFonts w:hint="eastAsia" w:ascii="仿宋" w:hAnsi="仿宋" w:eastAsia="仿宋" w:cs="宋体"/>
          <w:kern w:val="0"/>
          <w:highlight w:val="none"/>
          <w:lang w:val="en-US" w:eastAsia="zh-CN"/>
        </w:rPr>
        <w:t>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8.16</w:t>
      </w:r>
      <w:r>
        <w:rPr>
          <w:rFonts w:hint="eastAsia" w:ascii="仿宋" w:hAnsi="仿宋" w:eastAsia="仿宋" w:cs="宋体"/>
          <w:kern w:val="0"/>
          <w:highlight w:val="none"/>
          <w:lang w:val="zh-CN"/>
        </w:rPr>
        <w:t>万元。决算数与年初预算数存在差异的主要原因是业务增加，因此支出增加。</w:t>
      </w:r>
    </w:p>
    <w:p>
      <w:pPr>
        <w:autoSpaceDE w:val="0"/>
        <w:autoSpaceDN w:val="0"/>
        <w:adjustRightInd w:val="0"/>
        <w:spacing w:line="360" w:lineRule="auto"/>
        <w:ind w:firstLine="643"/>
        <w:rPr>
          <w:rFonts w:ascii="仿宋" w:hAnsi="仿宋" w:eastAsia="仿宋"/>
          <w:b/>
          <w:color w:val="000000"/>
          <w:kern w:val="0"/>
          <w:lang w:val="zh-CN"/>
        </w:rPr>
      </w:pPr>
      <w:r>
        <w:rPr>
          <w:rFonts w:hint="eastAsia" w:ascii="仿宋" w:hAnsi="仿宋" w:eastAsia="仿宋" w:cs="宋体"/>
          <w:b/>
          <w:color w:val="000000"/>
          <w:kern w:val="0"/>
          <w:lang w:val="zh-CN"/>
        </w:rPr>
        <w:t>六、一般公共预算财政拨款基本支出决算情况说明</w:t>
      </w:r>
    </w:p>
    <w:p>
      <w:pPr>
        <w:autoSpaceDE w:val="0"/>
        <w:autoSpaceDN w:val="0"/>
        <w:adjustRightInd w:val="0"/>
        <w:spacing w:line="360" w:lineRule="auto"/>
        <w:ind w:firstLine="640"/>
        <w:rPr>
          <w:rFonts w:ascii="仿宋" w:hAnsi="仿宋" w:eastAsia="仿宋" w:cs="宋体"/>
          <w:color w:val="000000"/>
          <w:kern w:val="0"/>
          <w:lang w:val="zh-CN"/>
        </w:rPr>
      </w:pPr>
      <w:r>
        <w:rPr>
          <w:rFonts w:hint="eastAsia" w:ascii="仿宋" w:hAnsi="仿宋" w:eastAsia="仿宋" w:cs="宋体"/>
          <w:color w:val="000000"/>
          <w:kern w:val="0"/>
          <w:lang w:val="zh-CN"/>
        </w:rPr>
        <w:t>202</w:t>
      </w:r>
      <w:r>
        <w:rPr>
          <w:rFonts w:hint="eastAsia" w:ascii="仿宋" w:hAnsi="仿宋" w:eastAsia="仿宋" w:cs="宋体"/>
          <w:color w:val="000000"/>
          <w:kern w:val="0"/>
          <w:lang w:val="en-US" w:eastAsia="zh-CN"/>
        </w:rPr>
        <w:t>1</w:t>
      </w:r>
      <w:r>
        <w:rPr>
          <w:rFonts w:hint="eastAsia" w:ascii="仿宋" w:hAnsi="仿宋" w:eastAsia="仿宋" w:cs="宋体"/>
          <w:color w:val="000000"/>
          <w:kern w:val="0"/>
          <w:lang w:val="zh-CN"/>
        </w:rPr>
        <w:t>年度一般公共预算财政拨款基本支出</w:t>
      </w:r>
      <w:r>
        <w:rPr>
          <w:rFonts w:hint="eastAsia" w:ascii="仿宋" w:hAnsi="仿宋" w:eastAsia="仿宋" w:cs="宋体"/>
          <w:color w:val="000000"/>
          <w:kern w:val="0"/>
          <w:lang w:val="en-US" w:eastAsia="zh-CN"/>
        </w:rPr>
        <w:t>1041.63</w:t>
      </w:r>
      <w:r>
        <w:rPr>
          <w:rFonts w:hint="eastAsia" w:ascii="仿宋" w:hAnsi="仿宋" w:eastAsia="仿宋" w:cs="宋体"/>
          <w:color w:val="000000"/>
          <w:kern w:val="0"/>
          <w:lang w:val="zh-CN"/>
        </w:rPr>
        <w:t>万元。与上年度相比，增加</w:t>
      </w:r>
      <w:r>
        <w:rPr>
          <w:rFonts w:hint="eastAsia" w:ascii="仿宋" w:hAnsi="仿宋" w:eastAsia="仿宋" w:cs="宋体"/>
          <w:color w:val="000000"/>
          <w:kern w:val="0"/>
          <w:lang w:val="en-US" w:eastAsia="zh-CN"/>
        </w:rPr>
        <w:t>88.32</w:t>
      </w:r>
      <w:r>
        <w:rPr>
          <w:rFonts w:hint="eastAsia" w:ascii="仿宋" w:hAnsi="仿宋" w:eastAsia="仿宋" w:cs="宋体"/>
          <w:color w:val="000000"/>
          <w:kern w:val="0"/>
          <w:lang w:val="zh-CN"/>
        </w:rPr>
        <w:t>万元，增长</w:t>
      </w:r>
      <w:r>
        <w:rPr>
          <w:rFonts w:hint="eastAsia" w:ascii="仿宋" w:hAnsi="仿宋" w:eastAsia="仿宋" w:cs="宋体"/>
          <w:color w:val="000000"/>
          <w:kern w:val="0"/>
          <w:lang w:val="en-US" w:eastAsia="zh-CN"/>
        </w:rPr>
        <w:t>9.26</w:t>
      </w:r>
      <w:r>
        <w:rPr>
          <w:rFonts w:hint="eastAsia" w:ascii="仿宋" w:hAnsi="仿宋" w:eastAsia="仿宋" w:cs="宋体"/>
          <w:color w:val="000000"/>
          <w:kern w:val="0"/>
          <w:lang w:val="zh-CN"/>
        </w:rPr>
        <w:t>%，主要原因：人员变动导致支出增加。其中：人员经费</w:t>
      </w:r>
      <w:r>
        <w:rPr>
          <w:rFonts w:hint="eastAsia" w:ascii="仿宋" w:hAnsi="仿宋" w:eastAsia="仿宋" w:cs="宋体"/>
          <w:color w:val="000000"/>
          <w:kern w:val="0"/>
          <w:lang w:val="en-US" w:eastAsia="zh-CN"/>
        </w:rPr>
        <w:t>949.35</w:t>
      </w:r>
      <w:r>
        <w:rPr>
          <w:rFonts w:hint="eastAsia" w:ascii="仿宋" w:hAnsi="仿宋" w:eastAsia="仿宋" w:cs="宋体"/>
          <w:color w:val="000000"/>
          <w:kern w:val="0"/>
          <w:lang w:val="zh-CN"/>
        </w:rPr>
        <w:t>万元，主要包括：基本工资、津贴补贴、机关事业单位基本养老保险缴费、其他社会保障缴费、退休费、抚恤金、生活补助、住房公积金</w:t>
      </w:r>
      <w:r>
        <w:rPr>
          <w:rFonts w:hint="eastAsia" w:ascii="仿宋" w:hAnsi="仿宋" w:eastAsia="仿宋" w:cs="宋体"/>
          <w:color w:val="000000"/>
          <w:kern w:val="0"/>
          <w:highlight w:val="none"/>
          <w:lang w:val="zh-CN"/>
        </w:rPr>
        <w:t>；公用经费</w:t>
      </w:r>
      <w:r>
        <w:rPr>
          <w:rFonts w:hint="eastAsia" w:ascii="仿宋" w:hAnsi="仿宋" w:eastAsia="仿宋" w:cs="宋体"/>
          <w:color w:val="000000"/>
          <w:kern w:val="0"/>
          <w:highlight w:val="none"/>
          <w:lang w:val="en-US" w:eastAsia="zh-CN"/>
        </w:rPr>
        <w:t>92.28</w:t>
      </w:r>
      <w:r>
        <w:rPr>
          <w:rFonts w:hint="eastAsia" w:ascii="仿宋" w:hAnsi="仿宋" w:eastAsia="仿宋" w:cs="宋体"/>
          <w:color w:val="000000"/>
          <w:kern w:val="0"/>
          <w:highlight w:val="none"/>
          <w:lang w:val="zh-CN"/>
        </w:rPr>
        <w:t>万元，主要包括：办公费、印刷费、水费</w:t>
      </w:r>
      <w:r>
        <w:rPr>
          <w:rFonts w:hint="eastAsia" w:ascii="仿宋" w:hAnsi="仿宋" w:eastAsia="仿宋" w:cs="宋体"/>
          <w:color w:val="000000"/>
          <w:kern w:val="0"/>
          <w:lang w:val="zh-CN"/>
        </w:rPr>
        <w:t>、电费、邮电费、维修（护）费、公务接待费、委托业务费、工会经费、福利费、公务用车运行维护费、其他交通费用、其他商品和服务支出。</w:t>
      </w:r>
    </w:p>
    <w:p>
      <w:pPr>
        <w:autoSpaceDE w:val="0"/>
        <w:autoSpaceDN w:val="0"/>
        <w:adjustRightInd w:val="0"/>
        <w:spacing w:line="360" w:lineRule="auto"/>
        <w:ind w:firstLine="643"/>
        <w:rPr>
          <w:rFonts w:ascii="仿宋" w:hAnsi="仿宋" w:eastAsia="仿宋"/>
          <w:b/>
          <w:color w:val="000000"/>
          <w:kern w:val="0"/>
          <w:lang w:val="zh-CN"/>
        </w:rPr>
      </w:pPr>
      <w:r>
        <w:rPr>
          <w:rFonts w:hint="eastAsia" w:ascii="仿宋" w:hAnsi="仿宋" w:eastAsia="仿宋" w:cs="宋体"/>
          <w:b/>
          <w:color w:val="000000"/>
          <w:kern w:val="0"/>
          <w:lang w:val="zh-CN"/>
        </w:rPr>
        <w:t>七、一般公共预算财政拨款</w:t>
      </w:r>
      <w:r>
        <w:rPr>
          <w:rFonts w:ascii="仿宋" w:hAnsi="仿宋" w:eastAsia="仿宋" w:cs="Calibri"/>
          <w:b/>
          <w:color w:val="000000"/>
          <w:kern w:val="0"/>
          <w:lang w:val="zh-CN"/>
        </w:rPr>
        <w:t>“</w:t>
      </w:r>
      <w:r>
        <w:rPr>
          <w:rFonts w:hint="eastAsia" w:ascii="仿宋" w:hAnsi="仿宋" w:eastAsia="仿宋" w:cs="宋体"/>
          <w:b/>
          <w:color w:val="000000"/>
          <w:kern w:val="0"/>
          <w:lang w:val="zh-CN"/>
        </w:rPr>
        <w:t>三公</w:t>
      </w:r>
      <w:r>
        <w:rPr>
          <w:rFonts w:ascii="仿宋" w:hAnsi="仿宋" w:eastAsia="仿宋" w:cs="Calibri"/>
          <w:b/>
          <w:color w:val="000000"/>
          <w:kern w:val="0"/>
          <w:lang w:val="zh-CN"/>
        </w:rPr>
        <w:t>”</w:t>
      </w:r>
      <w:r>
        <w:rPr>
          <w:rFonts w:hint="eastAsia" w:ascii="仿宋" w:hAnsi="仿宋" w:eastAsia="仿宋" w:cs="宋体"/>
          <w:b/>
          <w:color w:val="000000"/>
          <w:kern w:val="0"/>
          <w:lang w:val="zh-CN"/>
        </w:rPr>
        <w:t>经费支出决算情况说明</w:t>
      </w:r>
    </w:p>
    <w:p>
      <w:pPr>
        <w:autoSpaceDE w:val="0"/>
        <w:autoSpaceDN w:val="0"/>
        <w:adjustRightInd w:val="0"/>
        <w:spacing w:line="360" w:lineRule="auto"/>
        <w:ind w:firstLine="643"/>
        <w:rPr>
          <w:rFonts w:ascii="仿宋" w:hAnsi="仿宋" w:eastAsia="仿宋"/>
          <w:b/>
          <w:color w:val="000000"/>
          <w:kern w:val="0"/>
          <w:lang w:val="zh-CN"/>
        </w:rPr>
      </w:pPr>
      <w:r>
        <w:rPr>
          <w:rFonts w:hint="eastAsia" w:ascii="仿宋" w:hAnsi="仿宋" w:eastAsia="仿宋" w:cs="宋体"/>
          <w:b/>
          <w:color w:val="000000"/>
          <w:kern w:val="0"/>
          <w:lang w:val="zh-CN"/>
        </w:rPr>
        <w:t>（一）</w:t>
      </w:r>
      <w:r>
        <w:rPr>
          <w:rFonts w:ascii="仿宋" w:hAnsi="仿宋" w:eastAsia="仿宋" w:cs="Calibri"/>
          <w:b/>
          <w:color w:val="000000"/>
          <w:kern w:val="0"/>
          <w:lang w:val="zh-CN"/>
        </w:rPr>
        <w:t>“</w:t>
      </w:r>
      <w:r>
        <w:rPr>
          <w:rFonts w:hint="eastAsia" w:ascii="仿宋" w:hAnsi="仿宋" w:eastAsia="仿宋" w:cs="宋体"/>
          <w:b/>
          <w:color w:val="000000"/>
          <w:kern w:val="0"/>
          <w:lang w:val="zh-CN"/>
        </w:rPr>
        <w:t>三公</w:t>
      </w:r>
      <w:r>
        <w:rPr>
          <w:rFonts w:ascii="仿宋" w:hAnsi="仿宋" w:eastAsia="仿宋" w:cs="Calibri"/>
          <w:b/>
          <w:color w:val="000000"/>
          <w:kern w:val="0"/>
          <w:lang w:val="zh-CN"/>
        </w:rPr>
        <w:t>”</w:t>
      </w:r>
      <w:r>
        <w:rPr>
          <w:rFonts w:hint="eastAsia" w:ascii="仿宋" w:hAnsi="仿宋" w:eastAsia="仿宋" w:cs="宋体"/>
          <w:b/>
          <w:color w:val="000000"/>
          <w:kern w:val="0"/>
          <w:lang w:val="zh-CN"/>
        </w:rPr>
        <w:t>经费财政拨款支出决算总体情况说明</w:t>
      </w:r>
    </w:p>
    <w:p>
      <w:pPr>
        <w:autoSpaceDE w:val="0"/>
        <w:autoSpaceDN w:val="0"/>
        <w:adjustRightInd w:val="0"/>
        <w:spacing w:line="360" w:lineRule="auto"/>
        <w:ind w:firstLine="640"/>
        <w:rPr>
          <w:rFonts w:ascii="仿宋" w:hAnsi="仿宋" w:eastAsia="仿宋"/>
          <w:color w:val="000000"/>
          <w:kern w:val="0"/>
          <w:lang w:val="zh-CN"/>
        </w:rPr>
      </w:pPr>
      <w:r>
        <w:rPr>
          <w:rFonts w:hint="eastAsia" w:ascii="仿宋" w:hAnsi="仿宋" w:eastAsia="仿宋" w:cs="宋体"/>
          <w:color w:val="000000"/>
          <w:kern w:val="0"/>
          <w:lang w:val="zh-CN"/>
        </w:rPr>
        <w:t>202</w:t>
      </w:r>
      <w:r>
        <w:rPr>
          <w:rFonts w:hint="eastAsia" w:ascii="仿宋" w:hAnsi="仿宋" w:eastAsia="仿宋" w:cs="宋体"/>
          <w:color w:val="000000"/>
          <w:kern w:val="0"/>
          <w:lang w:val="en-US" w:eastAsia="zh-CN"/>
        </w:rPr>
        <w:t>1</w:t>
      </w:r>
      <w:r>
        <w:rPr>
          <w:rFonts w:hint="eastAsia" w:ascii="仿宋" w:hAnsi="仿宋" w:eastAsia="仿宋" w:cs="宋体"/>
          <w:color w:val="000000"/>
          <w:kern w:val="0"/>
          <w:lang w:val="zh-CN"/>
        </w:rPr>
        <w:t>年度</w:t>
      </w:r>
      <w:r>
        <w:rPr>
          <w:rFonts w:ascii="仿宋" w:hAnsi="仿宋" w:eastAsia="仿宋" w:cs="宋体"/>
          <w:color w:val="000000"/>
          <w:kern w:val="0"/>
          <w:lang w:val="zh-CN"/>
        </w:rPr>
        <w:t>“</w:t>
      </w:r>
      <w:r>
        <w:rPr>
          <w:rFonts w:hint="eastAsia" w:ascii="仿宋" w:hAnsi="仿宋" w:eastAsia="仿宋" w:cs="宋体"/>
          <w:color w:val="000000"/>
          <w:kern w:val="0"/>
          <w:lang w:val="zh-CN"/>
        </w:rPr>
        <w:t>三公</w:t>
      </w:r>
      <w:r>
        <w:rPr>
          <w:rFonts w:ascii="仿宋" w:hAnsi="仿宋" w:eastAsia="仿宋" w:cs="宋体"/>
          <w:color w:val="000000"/>
          <w:kern w:val="0"/>
          <w:lang w:val="zh-CN"/>
        </w:rPr>
        <w:t>”</w:t>
      </w:r>
      <w:r>
        <w:rPr>
          <w:rFonts w:hint="eastAsia" w:ascii="仿宋" w:hAnsi="仿宋" w:eastAsia="仿宋" w:cs="宋体"/>
          <w:color w:val="000000"/>
          <w:kern w:val="0"/>
          <w:lang w:val="zh-CN"/>
        </w:rPr>
        <w:t>经费财政拨款支出预算为</w:t>
      </w:r>
      <w:r>
        <w:rPr>
          <w:rFonts w:hint="eastAsia" w:ascii="仿宋" w:hAnsi="仿宋" w:eastAsia="仿宋" w:cs="宋体"/>
          <w:color w:val="000000"/>
          <w:kern w:val="0"/>
          <w:lang w:val="en-US" w:eastAsia="zh-CN"/>
        </w:rPr>
        <w:t>18.06</w:t>
      </w:r>
      <w:r>
        <w:rPr>
          <w:rFonts w:hint="eastAsia" w:ascii="仿宋" w:hAnsi="仿宋" w:eastAsia="仿宋" w:cs="宋体"/>
          <w:color w:val="000000"/>
          <w:kern w:val="0"/>
          <w:lang w:val="zh-CN"/>
        </w:rPr>
        <w:t>万元，支出决算为</w:t>
      </w:r>
      <w:r>
        <w:rPr>
          <w:rFonts w:hint="eastAsia" w:ascii="仿宋" w:hAnsi="仿宋" w:eastAsia="仿宋" w:cs="宋体"/>
          <w:color w:val="000000"/>
          <w:kern w:val="0"/>
          <w:lang w:val="en-US" w:eastAsia="zh-CN"/>
        </w:rPr>
        <w:t>18.06</w:t>
      </w:r>
      <w:r>
        <w:rPr>
          <w:rFonts w:hint="eastAsia" w:ascii="仿宋" w:hAnsi="仿宋" w:eastAsia="仿宋" w:cs="宋体"/>
          <w:color w:val="000000"/>
          <w:kern w:val="0"/>
          <w:lang w:val="zh-CN"/>
        </w:rPr>
        <w:t>万元，完成预算的</w:t>
      </w:r>
      <w:r>
        <w:rPr>
          <w:rFonts w:hint="eastAsia" w:ascii="仿宋" w:hAnsi="仿宋" w:eastAsia="仿宋" w:cs="宋体"/>
          <w:color w:val="000000"/>
          <w:kern w:val="0"/>
          <w:lang w:val="en-US" w:eastAsia="zh-CN"/>
        </w:rPr>
        <w:t>100</w:t>
      </w:r>
      <w:r>
        <w:rPr>
          <w:rFonts w:hint="eastAsia" w:ascii="仿宋" w:hAnsi="仿宋" w:eastAsia="仿宋" w:cs="宋体"/>
          <w:color w:val="000000"/>
          <w:kern w:val="0"/>
          <w:lang w:val="zh-CN"/>
        </w:rPr>
        <w:t>%。202</w:t>
      </w:r>
      <w:r>
        <w:rPr>
          <w:rFonts w:hint="eastAsia" w:ascii="仿宋" w:hAnsi="仿宋" w:eastAsia="仿宋" w:cs="宋体"/>
          <w:color w:val="000000"/>
          <w:kern w:val="0"/>
          <w:lang w:val="en-US" w:eastAsia="zh-CN"/>
        </w:rPr>
        <w:t>1</w:t>
      </w:r>
      <w:r>
        <w:rPr>
          <w:rFonts w:hint="eastAsia" w:ascii="仿宋" w:hAnsi="仿宋" w:eastAsia="仿宋" w:cs="宋体"/>
          <w:color w:val="000000"/>
          <w:kern w:val="0"/>
          <w:lang w:val="zh-CN"/>
        </w:rPr>
        <w:t>年度</w:t>
      </w:r>
      <w:r>
        <w:rPr>
          <w:rFonts w:ascii="仿宋" w:hAnsi="仿宋" w:eastAsia="仿宋" w:cs="宋体"/>
          <w:color w:val="000000"/>
          <w:kern w:val="0"/>
          <w:lang w:val="zh-CN"/>
        </w:rPr>
        <w:t>“</w:t>
      </w:r>
      <w:r>
        <w:rPr>
          <w:rFonts w:hint="eastAsia" w:ascii="仿宋" w:hAnsi="仿宋" w:eastAsia="仿宋" w:cs="宋体"/>
          <w:color w:val="000000"/>
          <w:kern w:val="0"/>
          <w:lang w:val="zh-CN"/>
        </w:rPr>
        <w:t>三公</w:t>
      </w:r>
      <w:r>
        <w:rPr>
          <w:rFonts w:ascii="仿宋" w:hAnsi="仿宋" w:eastAsia="仿宋" w:cs="宋体"/>
          <w:color w:val="000000"/>
          <w:kern w:val="0"/>
          <w:lang w:val="zh-CN"/>
        </w:rPr>
        <w:t>”</w:t>
      </w:r>
      <w:r>
        <w:rPr>
          <w:rFonts w:hint="eastAsia" w:ascii="仿宋" w:hAnsi="仿宋" w:eastAsia="仿宋" w:cs="宋体"/>
          <w:color w:val="000000"/>
          <w:kern w:val="0"/>
          <w:lang w:val="zh-CN"/>
        </w:rPr>
        <w:t>经费支出决算数与预算数一致主要原因是</w:t>
      </w:r>
      <w:r>
        <w:rPr>
          <w:rFonts w:hint="eastAsia" w:ascii="仿宋" w:hAnsi="仿宋" w:eastAsia="仿宋" w:cs="仿宋"/>
          <w:color w:val="000000"/>
        </w:rPr>
        <w:t>我局认真贯彻落实中央八项规定精神，坚持厉行节约，进一步规范公务接待，强化公务用车管理，严格控制“三公”经费支出，全年实际支出</w:t>
      </w:r>
      <w:r>
        <w:rPr>
          <w:rFonts w:hint="eastAsia" w:ascii="仿宋" w:hAnsi="仿宋" w:eastAsia="仿宋" w:cs="仿宋"/>
          <w:color w:val="000000"/>
          <w:lang w:eastAsia="zh-CN"/>
        </w:rPr>
        <w:t>与</w:t>
      </w:r>
      <w:r>
        <w:rPr>
          <w:rFonts w:hint="eastAsia" w:ascii="仿宋" w:hAnsi="仿宋" w:eastAsia="仿宋" w:cs="仿宋"/>
          <w:color w:val="000000"/>
        </w:rPr>
        <w:t>预算</w:t>
      </w:r>
      <w:r>
        <w:rPr>
          <w:rFonts w:hint="eastAsia" w:ascii="仿宋" w:hAnsi="仿宋" w:eastAsia="仿宋" w:cs="仿宋"/>
          <w:color w:val="000000"/>
          <w:lang w:eastAsia="zh-CN"/>
        </w:rPr>
        <w:t>保持一致</w:t>
      </w:r>
      <w:r>
        <w:rPr>
          <w:rFonts w:hint="eastAsia" w:ascii="仿宋" w:hAnsi="仿宋" w:eastAsia="仿宋" w:cs="仿宋"/>
          <w:color w:val="000000"/>
        </w:rPr>
        <w:t>。</w:t>
      </w:r>
    </w:p>
    <w:p>
      <w:pPr>
        <w:autoSpaceDE w:val="0"/>
        <w:autoSpaceDN w:val="0"/>
        <w:adjustRightInd w:val="0"/>
        <w:spacing w:line="360" w:lineRule="auto"/>
        <w:ind w:firstLine="643"/>
        <w:rPr>
          <w:rFonts w:ascii="仿宋" w:hAnsi="仿宋" w:eastAsia="仿宋"/>
          <w:b/>
          <w:kern w:val="0"/>
          <w:lang w:val="zh-CN"/>
        </w:rPr>
      </w:pPr>
      <w:r>
        <w:rPr>
          <w:rFonts w:hint="eastAsia" w:ascii="仿宋" w:hAnsi="仿宋" w:eastAsia="仿宋" w:cs="宋体"/>
          <w:b/>
          <w:kern w:val="0"/>
          <w:lang w:val="zh-CN"/>
        </w:rPr>
        <w:t>（二）</w:t>
      </w:r>
      <w:r>
        <w:rPr>
          <w:rFonts w:ascii="仿宋" w:hAnsi="仿宋" w:eastAsia="仿宋" w:cs="Calibri"/>
          <w:b/>
          <w:kern w:val="0"/>
          <w:lang w:val="zh-CN"/>
        </w:rPr>
        <w:t>“</w:t>
      </w:r>
      <w:r>
        <w:rPr>
          <w:rFonts w:hint="eastAsia" w:ascii="仿宋" w:hAnsi="仿宋" w:eastAsia="仿宋" w:cs="宋体"/>
          <w:b/>
          <w:kern w:val="0"/>
          <w:lang w:val="zh-CN"/>
        </w:rPr>
        <w:t>三公</w:t>
      </w:r>
      <w:r>
        <w:rPr>
          <w:rFonts w:ascii="仿宋" w:hAnsi="仿宋" w:eastAsia="仿宋" w:cs="Calibri"/>
          <w:b/>
          <w:kern w:val="0"/>
          <w:lang w:val="zh-CN"/>
        </w:rPr>
        <w:t>”</w:t>
      </w:r>
      <w:r>
        <w:rPr>
          <w:rFonts w:hint="eastAsia" w:ascii="仿宋" w:hAnsi="仿宋" w:eastAsia="仿宋" w:cs="宋体"/>
          <w:b/>
          <w:kern w:val="0"/>
          <w:lang w:val="zh-CN"/>
        </w:rPr>
        <w:t>经费财政拨款支出决算具体情况说明</w:t>
      </w:r>
    </w:p>
    <w:p>
      <w:pPr>
        <w:autoSpaceDE w:val="0"/>
        <w:autoSpaceDN w:val="0"/>
        <w:adjustRightInd w:val="0"/>
        <w:spacing w:line="360" w:lineRule="auto"/>
        <w:ind w:firstLine="640"/>
        <w:rPr>
          <w:rFonts w:ascii="仿宋" w:hAnsi="仿宋" w:eastAsia="仿宋" w:cs="宋体"/>
          <w:kern w:val="0"/>
          <w:lang w:val="zh-CN"/>
        </w:rPr>
      </w:pPr>
      <w:r>
        <w:rPr>
          <w:rFonts w:ascii="仿宋" w:hAnsi="仿宋" w:eastAsia="仿宋" w:cs="宋体"/>
          <w:kern w:val="0"/>
          <w:lang w:val="zh-CN"/>
        </w:rPr>
        <w:t>202</w:t>
      </w:r>
      <w:r>
        <w:rPr>
          <w:rFonts w:hint="eastAsia" w:ascii="仿宋" w:hAnsi="仿宋" w:eastAsia="仿宋" w:cs="宋体"/>
          <w:kern w:val="0"/>
          <w:lang w:val="en-US" w:eastAsia="zh-CN"/>
        </w:rPr>
        <w:t>1</w:t>
      </w:r>
      <w:r>
        <w:rPr>
          <w:rFonts w:hint="eastAsia" w:ascii="仿宋" w:hAnsi="仿宋" w:eastAsia="仿宋" w:cs="宋体"/>
          <w:kern w:val="0"/>
          <w:lang w:val="zh-CN"/>
        </w:rPr>
        <w:t>年度</w:t>
      </w:r>
      <w:r>
        <w:rPr>
          <w:rFonts w:ascii="仿宋" w:hAnsi="仿宋" w:eastAsia="仿宋" w:cs="Calibri"/>
          <w:kern w:val="0"/>
          <w:lang w:val="zh-CN"/>
        </w:rPr>
        <w:t>“</w:t>
      </w:r>
      <w:r>
        <w:rPr>
          <w:rFonts w:hint="eastAsia" w:ascii="仿宋" w:hAnsi="仿宋" w:eastAsia="仿宋" w:cs="宋体"/>
          <w:kern w:val="0"/>
          <w:lang w:val="zh-CN"/>
        </w:rPr>
        <w:t>三公</w:t>
      </w:r>
      <w:r>
        <w:rPr>
          <w:rFonts w:ascii="仿宋" w:hAnsi="仿宋" w:eastAsia="仿宋" w:cs="Calibri"/>
          <w:kern w:val="0"/>
          <w:lang w:val="zh-CN"/>
        </w:rPr>
        <w:t>”</w:t>
      </w:r>
      <w:r>
        <w:rPr>
          <w:rFonts w:hint="eastAsia" w:ascii="仿宋" w:hAnsi="仿宋" w:eastAsia="仿宋" w:cs="宋体"/>
          <w:kern w:val="0"/>
          <w:lang w:val="zh-CN"/>
        </w:rPr>
        <w:t>经费财政拨款支出决算中，因公出国（境）费支出决算</w:t>
      </w:r>
      <w:r>
        <w:rPr>
          <w:rFonts w:ascii="仿宋" w:hAnsi="仿宋" w:eastAsia="仿宋" w:cs="宋体"/>
          <w:kern w:val="0"/>
          <w:lang w:val="zh-CN"/>
        </w:rPr>
        <w:t>0</w:t>
      </w:r>
      <w:r>
        <w:rPr>
          <w:rFonts w:hint="eastAsia" w:ascii="仿宋" w:hAnsi="仿宋" w:eastAsia="仿宋" w:cs="宋体"/>
          <w:kern w:val="0"/>
          <w:lang w:val="zh-CN"/>
        </w:rPr>
        <w:t>万元；公务用车购置及运行费支出决算</w:t>
      </w:r>
      <w:r>
        <w:rPr>
          <w:rFonts w:hint="eastAsia" w:ascii="仿宋" w:hAnsi="仿宋" w:eastAsia="仿宋" w:cs="宋体"/>
          <w:kern w:val="0"/>
          <w:lang w:val="en-US" w:eastAsia="zh-CN"/>
        </w:rPr>
        <w:t>14.42</w:t>
      </w:r>
      <w:r>
        <w:rPr>
          <w:rFonts w:hint="eastAsia" w:ascii="仿宋" w:hAnsi="仿宋" w:eastAsia="仿宋" w:cs="宋体"/>
          <w:kern w:val="0"/>
          <w:lang w:val="zh-CN"/>
        </w:rPr>
        <w:t>万元，完成预算的</w:t>
      </w:r>
      <w:r>
        <w:rPr>
          <w:rFonts w:hint="eastAsia" w:ascii="仿宋" w:hAnsi="仿宋" w:eastAsia="仿宋" w:cs="宋体"/>
          <w:kern w:val="0"/>
          <w:lang w:val="en-US" w:eastAsia="zh-CN"/>
        </w:rPr>
        <w:t>100</w:t>
      </w:r>
      <w:r>
        <w:rPr>
          <w:rFonts w:hint="eastAsia" w:ascii="仿宋" w:hAnsi="仿宋" w:eastAsia="仿宋" w:cs="宋体"/>
          <w:kern w:val="0"/>
          <w:lang w:val="zh-CN"/>
        </w:rPr>
        <w:t>%，占</w:t>
      </w:r>
      <w:r>
        <w:rPr>
          <w:rFonts w:hint="eastAsia" w:ascii="仿宋" w:hAnsi="仿宋" w:eastAsia="仿宋" w:cs="宋体"/>
          <w:kern w:val="0"/>
          <w:lang w:val="en-US" w:eastAsia="zh-CN"/>
        </w:rPr>
        <w:t>79.84</w:t>
      </w:r>
      <w:r>
        <w:rPr>
          <w:rFonts w:hint="eastAsia" w:ascii="仿宋" w:hAnsi="仿宋" w:eastAsia="仿宋" w:cs="宋体"/>
          <w:kern w:val="0"/>
          <w:lang w:val="zh-CN"/>
        </w:rPr>
        <w:t>%；公务接待费支出决算</w:t>
      </w:r>
      <w:r>
        <w:rPr>
          <w:rFonts w:hint="eastAsia" w:ascii="仿宋" w:hAnsi="仿宋" w:eastAsia="仿宋" w:cs="宋体"/>
          <w:kern w:val="0"/>
          <w:lang w:val="en-US" w:eastAsia="zh-CN"/>
        </w:rPr>
        <w:t>3.64</w:t>
      </w:r>
      <w:r>
        <w:rPr>
          <w:rFonts w:hint="eastAsia" w:ascii="仿宋" w:hAnsi="仿宋" w:eastAsia="仿宋" w:cs="宋体"/>
          <w:kern w:val="0"/>
          <w:lang w:val="zh-CN"/>
        </w:rPr>
        <w:t>万元，完成预算的100%，占</w:t>
      </w:r>
      <w:r>
        <w:rPr>
          <w:rFonts w:hint="eastAsia" w:ascii="仿宋" w:hAnsi="仿宋" w:eastAsia="仿宋" w:cs="宋体"/>
          <w:kern w:val="0"/>
          <w:lang w:val="en-US" w:eastAsia="zh-CN"/>
        </w:rPr>
        <w:t>20.16</w:t>
      </w:r>
      <w:r>
        <w:rPr>
          <w:rFonts w:hint="eastAsia" w:ascii="仿宋" w:hAnsi="仿宋" w:eastAsia="仿宋" w:cs="宋体"/>
          <w:kern w:val="0"/>
          <w:lang w:val="zh-CN"/>
        </w:rPr>
        <w:t>%；具体情况如下：</w:t>
      </w:r>
    </w:p>
    <w:p>
      <w:pPr>
        <w:autoSpaceDE w:val="0"/>
        <w:autoSpaceDN w:val="0"/>
        <w:adjustRightInd w:val="0"/>
        <w:spacing w:line="360" w:lineRule="auto"/>
        <w:ind w:firstLine="640"/>
        <w:rPr>
          <w:rFonts w:ascii="仿宋" w:hAnsi="仿宋" w:eastAsia="仿宋" w:cs="宋体"/>
          <w:kern w:val="0"/>
          <w:lang w:val="zh-CN"/>
        </w:rPr>
      </w:pPr>
      <w:r>
        <w:rPr>
          <w:rFonts w:ascii="仿宋" w:hAnsi="仿宋" w:eastAsia="仿宋" w:cs="宋体"/>
          <w:kern w:val="0"/>
          <w:lang w:val="zh-CN"/>
        </w:rPr>
        <w:t>1</w:t>
      </w:r>
      <w:r>
        <w:rPr>
          <w:rFonts w:hint="eastAsia" w:ascii="仿宋" w:hAnsi="仿宋" w:eastAsia="仿宋" w:cs="宋体"/>
          <w:kern w:val="0"/>
          <w:lang w:val="en-US" w:eastAsia="zh-CN"/>
        </w:rPr>
        <w:t>.</w:t>
      </w:r>
      <w:r>
        <w:rPr>
          <w:rFonts w:hint="eastAsia" w:ascii="仿宋" w:hAnsi="仿宋" w:eastAsia="仿宋" w:cs="宋体"/>
          <w:b/>
          <w:bCs/>
          <w:kern w:val="0"/>
          <w:lang w:val="zh-CN"/>
        </w:rPr>
        <w:t>因公出国（境）费</w:t>
      </w:r>
      <w:r>
        <w:rPr>
          <w:rFonts w:hint="eastAsia" w:ascii="仿宋" w:hAnsi="仿宋" w:eastAsia="仿宋"/>
          <w:kern w:val="0"/>
          <w:lang w:val="zh-CN"/>
        </w:rPr>
        <w:t>年初</w:t>
      </w:r>
      <w:r>
        <w:rPr>
          <w:rFonts w:hint="eastAsia" w:ascii="仿宋" w:hAnsi="仿宋" w:eastAsia="仿宋" w:cs="宋体"/>
          <w:kern w:val="0"/>
          <w:lang w:val="zh-CN"/>
        </w:rPr>
        <w:t>预算为0万元，支出决算为</w:t>
      </w:r>
      <w:r>
        <w:rPr>
          <w:rFonts w:ascii="仿宋" w:hAnsi="仿宋" w:eastAsia="仿宋" w:cs="宋体"/>
          <w:kern w:val="0"/>
          <w:lang w:val="zh-CN"/>
        </w:rPr>
        <w:t>0</w:t>
      </w:r>
      <w:r>
        <w:rPr>
          <w:rFonts w:hint="eastAsia" w:ascii="仿宋" w:hAnsi="仿宋" w:eastAsia="仿宋" w:cs="宋体"/>
          <w:kern w:val="0"/>
          <w:lang w:val="zh-CN"/>
        </w:rPr>
        <w:t>万元。全年因公出国（境）团组</w:t>
      </w:r>
      <w:r>
        <w:rPr>
          <w:rFonts w:hint="eastAsia" w:ascii="仿宋" w:hAnsi="仿宋" w:eastAsia="仿宋" w:cs="宋体"/>
          <w:kern w:val="0"/>
          <w:lang w:val="en-US" w:eastAsia="zh-CN"/>
        </w:rPr>
        <w:t>0</w:t>
      </w:r>
      <w:r>
        <w:rPr>
          <w:rFonts w:hint="eastAsia" w:ascii="仿宋" w:hAnsi="仿宋" w:eastAsia="仿宋" w:cs="宋体"/>
          <w:kern w:val="0"/>
          <w:lang w:val="zh-CN"/>
        </w:rPr>
        <w:t>个，累计</w:t>
      </w:r>
      <w:r>
        <w:rPr>
          <w:rFonts w:hint="eastAsia" w:ascii="仿宋" w:hAnsi="仿宋" w:eastAsia="仿宋" w:cs="宋体"/>
          <w:kern w:val="0"/>
          <w:lang w:val="en-US" w:eastAsia="zh-CN"/>
        </w:rPr>
        <w:t>0</w:t>
      </w:r>
      <w:r>
        <w:rPr>
          <w:rFonts w:hint="eastAsia" w:ascii="仿宋" w:hAnsi="仿宋" w:eastAsia="仿宋" w:cs="宋体"/>
          <w:kern w:val="0"/>
          <w:lang w:val="zh-CN"/>
        </w:rPr>
        <w:t>人次。</w:t>
      </w:r>
    </w:p>
    <w:p>
      <w:pPr>
        <w:autoSpaceDE w:val="0"/>
        <w:autoSpaceDN w:val="0"/>
        <w:adjustRightInd w:val="0"/>
        <w:spacing w:line="360" w:lineRule="auto"/>
        <w:ind w:firstLine="640"/>
        <w:rPr>
          <w:rFonts w:ascii="仿宋" w:hAnsi="仿宋" w:eastAsia="仿宋"/>
          <w:kern w:val="0"/>
          <w:lang w:val="zh-CN"/>
        </w:rPr>
      </w:pPr>
      <w:r>
        <w:rPr>
          <w:rFonts w:hint="eastAsia" w:ascii="仿宋" w:hAnsi="仿宋" w:eastAsia="仿宋"/>
          <w:kern w:val="0"/>
          <w:lang w:val="en-US" w:eastAsia="zh-CN"/>
        </w:rPr>
        <w:t>2.</w:t>
      </w:r>
      <w:r>
        <w:rPr>
          <w:rFonts w:hint="eastAsia" w:ascii="仿宋" w:hAnsi="仿宋" w:eastAsia="仿宋"/>
          <w:b/>
          <w:bCs/>
          <w:kern w:val="0"/>
          <w:lang w:val="zh-CN"/>
        </w:rPr>
        <w:t>公务用车购置及运行费</w:t>
      </w:r>
      <w:r>
        <w:rPr>
          <w:rFonts w:hint="eastAsia" w:ascii="仿宋" w:hAnsi="仿宋" w:eastAsia="仿宋"/>
          <w:kern w:val="0"/>
          <w:lang w:val="zh-CN"/>
        </w:rPr>
        <w:t>年初预算为</w:t>
      </w:r>
      <w:r>
        <w:rPr>
          <w:rFonts w:hint="eastAsia" w:ascii="仿宋" w:hAnsi="仿宋" w:eastAsia="仿宋"/>
          <w:kern w:val="0"/>
          <w:lang w:val="en-US" w:eastAsia="zh-CN"/>
        </w:rPr>
        <w:t>14.42</w:t>
      </w:r>
      <w:r>
        <w:rPr>
          <w:rFonts w:hint="eastAsia" w:ascii="仿宋" w:hAnsi="仿宋" w:eastAsia="仿宋"/>
          <w:kern w:val="0"/>
          <w:lang w:val="zh-CN"/>
        </w:rPr>
        <w:t>万元，支出决算为</w:t>
      </w:r>
      <w:r>
        <w:rPr>
          <w:rFonts w:hint="eastAsia" w:ascii="仿宋" w:hAnsi="仿宋" w:eastAsia="仿宋"/>
          <w:kern w:val="0"/>
          <w:lang w:val="en-US" w:eastAsia="zh-CN"/>
        </w:rPr>
        <w:t>14.42</w:t>
      </w:r>
      <w:r>
        <w:rPr>
          <w:rFonts w:hint="eastAsia" w:ascii="仿宋" w:hAnsi="仿宋" w:eastAsia="仿宋"/>
          <w:kern w:val="0"/>
          <w:lang w:val="zh-CN"/>
        </w:rPr>
        <w:t>万元，完成年初预算的</w:t>
      </w:r>
      <w:r>
        <w:rPr>
          <w:rFonts w:hint="eastAsia" w:ascii="仿宋" w:hAnsi="仿宋" w:eastAsia="仿宋"/>
          <w:kern w:val="0"/>
          <w:lang w:val="en-US" w:eastAsia="zh-CN"/>
        </w:rPr>
        <w:t>100</w:t>
      </w:r>
      <w:r>
        <w:rPr>
          <w:rFonts w:hint="eastAsia" w:ascii="仿宋" w:hAnsi="仿宋" w:eastAsia="仿宋"/>
          <w:kern w:val="0"/>
          <w:lang w:val="zh-CN"/>
        </w:rPr>
        <w:t>%，决算数与年初预算数一致</w:t>
      </w:r>
      <w:r>
        <w:rPr>
          <w:rFonts w:hint="eastAsia" w:ascii="仿宋" w:hAnsi="仿宋" w:eastAsia="仿宋" w:cs="宋体"/>
          <w:kern w:val="0"/>
          <w:lang w:val="zh-CN"/>
        </w:rPr>
        <w:t>。</w:t>
      </w:r>
      <w:r>
        <w:rPr>
          <w:rFonts w:hint="eastAsia" w:ascii="仿宋_GB2312" w:hAnsi="仿宋_GB2312" w:eastAsia="仿宋_GB2312" w:cs="仿宋_GB2312"/>
          <w:sz w:val="32"/>
          <w:szCs w:val="32"/>
        </w:rPr>
        <w:t>其中：</w:t>
      </w:r>
    </w:p>
    <w:p>
      <w:pPr>
        <w:autoSpaceDE w:val="0"/>
        <w:autoSpaceDN w:val="0"/>
        <w:adjustRightInd w:val="0"/>
        <w:spacing w:line="360" w:lineRule="auto"/>
        <w:ind w:firstLine="640"/>
        <w:rPr>
          <w:rFonts w:hint="eastAsia" w:ascii="仿宋" w:hAnsi="仿宋" w:eastAsia="仿宋" w:cs="宋体"/>
          <w:color w:val="0000FF"/>
          <w:kern w:val="0"/>
          <w:lang w:val="zh-CN"/>
        </w:rPr>
      </w:pPr>
      <w:r>
        <w:rPr>
          <w:rFonts w:hint="eastAsia" w:ascii="仿宋" w:hAnsi="仿宋" w:eastAsia="仿宋" w:cs="宋体"/>
          <w:b/>
          <w:bCs/>
          <w:kern w:val="0"/>
          <w:lang w:val="zh-CN"/>
        </w:rPr>
        <w:t>公务用车购置支出</w:t>
      </w:r>
      <w:r>
        <w:rPr>
          <w:rFonts w:hint="eastAsia" w:ascii="仿宋" w:hAnsi="仿宋" w:eastAsia="仿宋" w:cs="宋体"/>
          <w:kern w:val="0"/>
          <w:lang w:val="zh-CN"/>
        </w:rPr>
        <w:t>为</w:t>
      </w:r>
      <w:r>
        <w:rPr>
          <w:rFonts w:hint="eastAsia" w:ascii="仿宋" w:hAnsi="仿宋" w:eastAsia="仿宋" w:cs="宋体"/>
          <w:kern w:val="0"/>
          <w:lang w:val="en-US" w:eastAsia="zh-CN"/>
        </w:rPr>
        <w:t>0</w:t>
      </w:r>
      <w:r>
        <w:rPr>
          <w:rFonts w:hint="eastAsia" w:ascii="仿宋" w:hAnsi="仿宋" w:eastAsia="仿宋" w:cs="宋体"/>
          <w:kern w:val="0"/>
          <w:lang w:val="zh-CN"/>
        </w:rPr>
        <w:t>万元</w:t>
      </w:r>
      <w:r>
        <w:rPr>
          <w:rFonts w:hint="eastAsia" w:ascii="仿宋_GB2312" w:hAnsi="仿宋_GB2312" w:eastAsia="仿宋_GB2312" w:cs="仿宋_GB2312"/>
          <w:color w:val="auto"/>
          <w:sz w:val="32"/>
          <w:szCs w:val="32"/>
        </w:rPr>
        <w:t>，</w:t>
      </w:r>
      <w:r>
        <w:rPr>
          <w:rFonts w:hint="eastAsia" w:ascii="仿宋" w:hAnsi="仿宋" w:eastAsia="仿宋" w:cs="宋体"/>
          <w:color w:val="auto"/>
          <w:kern w:val="0"/>
          <w:lang w:val="zh-CN"/>
        </w:rPr>
        <w:t>购置车辆</w:t>
      </w:r>
      <w:r>
        <w:rPr>
          <w:rFonts w:hint="eastAsia" w:ascii="仿宋" w:hAnsi="仿宋" w:eastAsia="仿宋" w:cs="宋体"/>
          <w:color w:val="auto"/>
          <w:kern w:val="0"/>
          <w:lang w:val="en-US" w:eastAsia="zh-CN"/>
        </w:rPr>
        <w:t>0</w:t>
      </w:r>
      <w:r>
        <w:rPr>
          <w:rFonts w:hint="eastAsia" w:ascii="仿宋" w:hAnsi="仿宋" w:eastAsia="仿宋" w:cs="宋体"/>
          <w:color w:val="auto"/>
          <w:kern w:val="0"/>
          <w:lang w:val="zh-CN"/>
        </w:rPr>
        <w:t>辆。</w:t>
      </w:r>
    </w:p>
    <w:p>
      <w:pPr>
        <w:autoSpaceDE w:val="0"/>
        <w:autoSpaceDN w:val="0"/>
        <w:adjustRightInd w:val="0"/>
        <w:spacing w:line="360" w:lineRule="auto"/>
        <w:ind w:firstLine="640"/>
        <w:rPr>
          <w:rFonts w:ascii="仿宋" w:hAnsi="仿宋" w:eastAsia="仿宋"/>
          <w:kern w:val="0"/>
          <w:lang w:val="zh-CN"/>
        </w:rPr>
      </w:pPr>
      <w:r>
        <w:rPr>
          <w:rFonts w:hint="eastAsia" w:ascii="仿宋" w:hAnsi="仿宋" w:eastAsia="仿宋" w:cs="宋体"/>
          <w:b/>
          <w:bCs/>
          <w:kern w:val="0"/>
          <w:lang w:val="zh-CN"/>
        </w:rPr>
        <w:t>公务用车运行支出</w:t>
      </w:r>
      <w:r>
        <w:rPr>
          <w:rFonts w:hint="eastAsia" w:ascii="仿宋" w:hAnsi="仿宋" w:eastAsia="仿宋"/>
          <w:kern w:val="0"/>
          <w:lang w:val="en-US" w:eastAsia="zh-CN"/>
        </w:rPr>
        <w:t>14.42</w:t>
      </w:r>
      <w:r>
        <w:rPr>
          <w:rFonts w:hint="eastAsia" w:ascii="仿宋" w:hAnsi="仿宋" w:eastAsia="仿宋" w:cs="宋体"/>
          <w:kern w:val="0"/>
          <w:lang w:val="zh-CN"/>
        </w:rPr>
        <w:t>万元。主要用于汽油费、保险费、维修（护）费、过路费。</w:t>
      </w:r>
      <w:r>
        <w:rPr>
          <w:rFonts w:hint="eastAsia" w:ascii="仿宋" w:hAnsi="仿宋" w:eastAsia="仿宋" w:cs="宋体"/>
          <w:kern w:val="0"/>
          <w:lang w:val="en-US" w:eastAsia="zh-CN"/>
        </w:rPr>
        <w:t>2</w:t>
      </w:r>
      <w:r>
        <w:rPr>
          <w:rFonts w:hint="eastAsia" w:ascii="仿宋" w:hAnsi="仿宋" w:eastAsia="仿宋" w:cs="宋体"/>
          <w:kern w:val="0"/>
          <w:lang w:val="zh-CN"/>
        </w:rPr>
        <w:t>02</w:t>
      </w:r>
      <w:r>
        <w:rPr>
          <w:rFonts w:hint="eastAsia" w:ascii="仿宋" w:hAnsi="仿宋" w:eastAsia="仿宋" w:cs="宋体"/>
          <w:kern w:val="0"/>
          <w:lang w:val="en-US" w:eastAsia="zh-CN"/>
        </w:rPr>
        <w:t>1</w:t>
      </w:r>
      <w:r>
        <w:rPr>
          <w:rFonts w:hint="eastAsia" w:ascii="仿宋" w:hAnsi="仿宋" w:eastAsia="仿宋" w:cs="宋体"/>
          <w:kern w:val="0"/>
          <w:lang w:val="zh-CN"/>
        </w:rPr>
        <w:t>年期末，单位开支财政拨款的公务用车保有量为</w:t>
      </w:r>
      <w:r>
        <w:rPr>
          <w:rFonts w:hint="eastAsia" w:ascii="仿宋" w:hAnsi="仿宋" w:eastAsia="仿宋" w:cs="宋体"/>
          <w:kern w:val="0"/>
          <w:lang w:val="en-US" w:eastAsia="zh-CN"/>
        </w:rPr>
        <w:t>2</w:t>
      </w:r>
      <w:r>
        <w:rPr>
          <w:rFonts w:hint="eastAsia" w:ascii="仿宋" w:hAnsi="仿宋" w:eastAsia="仿宋" w:cs="宋体"/>
          <w:kern w:val="0"/>
          <w:lang w:val="zh-CN"/>
        </w:rPr>
        <w:t>辆。</w:t>
      </w:r>
    </w:p>
    <w:p>
      <w:pPr>
        <w:numPr>
          <w:ilvl w:val="0"/>
          <w:numId w:val="1"/>
        </w:numPr>
        <w:autoSpaceDE w:val="0"/>
        <w:autoSpaceDN w:val="0"/>
        <w:adjustRightInd w:val="0"/>
        <w:spacing w:line="360" w:lineRule="auto"/>
        <w:ind w:firstLine="640"/>
        <w:rPr>
          <w:rFonts w:hint="eastAsia" w:ascii="仿宋" w:hAnsi="仿宋" w:eastAsia="仿宋" w:cs="宋体"/>
          <w:kern w:val="0"/>
          <w:lang w:val="zh-CN"/>
        </w:rPr>
      </w:pPr>
      <w:r>
        <w:rPr>
          <w:rFonts w:hint="eastAsia" w:ascii="仿宋" w:hAnsi="仿宋" w:eastAsia="仿宋" w:cs="宋体"/>
          <w:b/>
          <w:bCs/>
          <w:kern w:val="0"/>
          <w:lang w:val="zh-CN"/>
        </w:rPr>
        <w:t>公务接待费</w:t>
      </w:r>
      <w:r>
        <w:rPr>
          <w:rFonts w:hint="eastAsia" w:ascii="仿宋" w:hAnsi="仿宋" w:eastAsia="仿宋" w:cs="宋体"/>
          <w:kern w:val="0"/>
          <w:lang w:val="zh-CN"/>
        </w:rPr>
        <w:t>年初预算为</w:t>
      </w:r>
      <w:r>
        <w:rPr>
          <w:rFonts w:hint="eastAsia" w:ascii="仿宋" w:hAnsi="仿宋" w:eastAsia="仿宋" w:cs="宋体"/>
          <w:kern w:val="0"/>
          <w:lang w:val="en-US" w:eastAsia="zh-CN"/>
        </w:rPr>
        <w:t>3.64</w:t>
      </w:r>
      <w:r>
        <w:rPr>
          <w:rFonts w:hint="eastAsia" w:ascii="仿宋" w:hAnsi="仿宋" w:eastAsia="仿宋" w:cs="宋体"/>
          <w:kern w:val="0"/>
          <w:lang w:val="zh-CN"/>
        </w:rPr>
        <w:t>万元，支出决算为</w:t>
      </w:r>
      <w:r>
        <w:rPr>
          <w:rFonts w:hint="eastAsia" w:ascii="仿宋" w:hAnsi="仿宋" w:eastAsia="仿宋" w:cs="宋体"/>
          <w:kern w:val="0"/>
          <w:lang w:val="en-US" w:eastAsia="zh-CN"/>
        </w:rPr>
        <w:t>3.64</w:t>
      </w:r>
      <w:r>
        <w:rPr>
          <w:rFonts w:hint="eastAsia" w:ascii="仿宋" w:hAnsi="仿宋" w:eastAsia="仿宋" w:cs="宋体"/>
          <w:kern w:val="0"/>
          <w:lang w:val="zh-CN"/>
        </w:rPr>
        <w:t>万元，完成年初预算的100%。其中：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3" w:firstLineChars="200"/>
        <w:textAlignment w:val="auto"/>
        <w:rPr>
          <w:rFonts w:ascii="仿宋" w:hAnsi="仿宋" w:eastAsia="仿宋" w:cs="宋体"/>
          <w:kern w:val="0"/>
          <w:lang w:val="zh-CN"/>
        </w:rPr>
      </w:pPr>
      <w:r>
        <w:rPr>
          <w:rFonts w:hint="eastAsia" w:ascii="仿宋" w:hAnsi="仿宋" w:eastAsia="仿宋" w:cs="宋体"/>
          <w:b/>
          <w:bCs/>
          <w:kern w:val="0"/>
          <w:lang w:val="zh-CN"/>
        </w:rPr>
        <w:t>外宾接待支出</w:t>
      </w:r>
      <w:r>
        <w:rPr>
          <w:rFonts w:hint="eastAsia" w:ascii="仿宋" w:hAnsi="仿宋" w:eastAsia="仿宋" w:cs="宋体"/>
          <w:kern w:val="0"/>
          <w:lang w:val="zh-CN"/>
        </w:rPr>
        <w:t>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共接待国（境）外来访团组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人次（不包括陪同人员）。</w:t>
      </w:r>
      <w:bookmarkStart w:id="0" w:name="_GoBack"/>
      <w:bookmarkEnd w:id="0"/>
    </w:p>
    <w:p>
      <w:pPr>
        <w:autoSpaceDE w:val="0"/>
        <w:autoSpaceDN w:val="0"/>
        <w:adjustRightInd w:val="0"/>
        <w:spacing w:line="360" w:lineRule="auto"/>
        <w:ind w:firstLine="640"/>
        <w:rPr>
          <w:rFonts w:ascii="仿宋" w:hAnsi="仿宋" w:eastAsia="仿宋"/>
          <w:kern w:val="0"/>
          <w:lang w:val="zh-CN"/>
        </w:rPr>
      </w:pPr>
      <w:r>
        <w:rPr>
          <w:rFonts w:hint="eastAsia" w:ascii="仿宋_GB2312" w:hAnsi="仿宋_GB2312" w:eastAsia="仿宋_GB2312" w:cs="仿宋_GB2312"/>
          <w:b/>
          <w:bCs/>
          <w:sz w:val="32"/>
          <w:szCs w:val="32"/>
        </w:rPr>
        <w:t>其他国内公务接待支出</w:t>
      </w:r>
      <w:r>
        <w:rPr>
          <w:rFonts w:hint="eastAsia" w:ascii="仿宋" w:hAnsi="仿宋" w:eastAsia="仿宋" w:cs="宋体"/>
          <w:kern w:val="0"/>
          <w:lang w:val="en-US" w:eastAsia="zh-CN"/>
        </w:rPr>
        <w:t>3.64</w:t>
      </w:r>
      <w:r>
        <w:rPr>
          <w:rFonts w:hint="eastAsia" w:ascii="仿宋_GB2312" w:hAnsi="仿宋_GB2312" w:eastAsia="仿宋_GB2312" w:cs="仿宋_GB2312"/>
          <w:sz w:val="32"/>
          <w:szCs w:val="32"/>
        </w:rPr>
        <w:t>万</w:t>
      </w:r>
      <w:r>
        <w:rPr>
          <w:rFonts w:hint="eastAsia" w:ascii="仿宋_GB2312" w:hAnsi="仿宋_GB2312" w:eastAsia="仿宋_GB2312" w:cs="仿宋_GB2312"/>
          <w:color w:val="auto"/>
          <w:sz w:val="32"/>
          <w:szCs w:val="32"/>
        </w:rPr>
        <w:t>元</w:t>
      </w:r>
      <w:r>
        <w:rPr>
          <w:rFonts w:hint="eastAsia" w:ascii="仿宋" w:hAnsi="仿宋" w:eastAsia="仿宋" w:cs="宋体"/>
          <w:color w:val="auto"/>
          <w:kern w:val="0"/>
          <w:lang w:val="zh-CN"/>
        </w:rPr>
        <w:t>。</w:t>
      </w:r>
      <w:r>
        <w:rPr>
          <w:rFonts w:hint="eastAsia" w:ascii="仿宋_GB2312" w:hAnsi="仿宋_GB2312" w:cs="仿宋_GB2312"/>
          <w:color w:val="auto"/>
          <w:sz w:val="32"/>
          <w:szCs w:val="32"/>
          <w:lang w:eastAsia="zh-CN"/>
        </w:rPr>
        <w:t>主要用于接待省厅及</w:t>
      </w:r>
      <w:r>
        <w:rPr>
          <w:rFonts w:hint="eastAsia" w:ascii="仿宋" w:hAnsi="仿宋" w:eastAsia="仿宋" w:cs="宋体"/>
          <w:kern w:val="0"/>
          <w:lang w:val="zh-CN"/>
        </w:rPr>
        <w:t>国内来访团组</w:t>
      </w:r>
      <w:r>
        <w:rPr>
          <w:rFonts w:hint="eastAsia" w:ascii="仿宋" w:hAnsi="仿宋" w:eastAsia="仿宋" w:cs="宋体"/>
          <w:kern w:val="0"/>
          <w:lang w:val="en-US" w:eastAsia="zh-CN"/>
        </w:rPr>
        <w:t>34</w:t>
      </w:r>
      <w:r>
        <w:rPr>
          <w:rFonts w:hint="eastAsia" w:ascii="仿宋" w:hAnsi="仿宋" w:eastAsia="仿宋" w:cs="宋体"/>
          <w:kern w:val="0"/>
          <w:lang w:val="zh-CN"/>
        </w:rPr>
        <w:t>个、来宾</w:t>
      </w:r>
      <w:r>
        <w:rPr>
          <w:rFonts w:hint="eastAsia" w:ascii="仿宋" w:hAnsi="仿宋" w:eastAsia="仿宋" w:cs="宋体"/>
          <w:kern w:val="0"/>
          <w:lang w:val="en-US" w:eastAsia="zh-CN"/>
        </w:rPr>
        <w:t>209</w:t>
      </w:r>
      <w:r>
        <w:rPr>
          <w:rFonts w:hint="eastAsia" w:ascii="仿宋" w:hAnsi="仿宋" w:eastAsia="仿宋" w:cs="宋体"/>
          <w:kern w:val="0"/>
          <w:lang w:val="zh-CN"/>
        </w:rPr>
        <w:t>人次（包括陪同人员）。</w:t>
      </w:r>
    </w:p>
    <w:p>
      <w:pPr>
        <w:numPr>
          <w:ilvl w:val="0"/>
          <w:numId w:val="2"/>
        </w:numPr>
        <w:autoSpaceDE w:val="0"/>
        <w:autoSpaceDN w:val="0"/>
        <w:adjustRightInd w:val="0"/>
        <w:spacing w:line="360" w:lineRule="auto"/>
        <w:ind w:firstLine="643"/>
        <w:rPr>
          <w:rFonts w:hint="eastAsia" w:ascii="仿宋" w:hAnsi="仿宋" w:eastAsia="仿宋" w:cs="宋体"/>
          <w:b/>
          <w:color w:val="000000"/>
          <w:kern w:val="0"/>
          <w:highlight w:val="none"/>
          <w:lang w:val="zh-CN"/>
        </w:rPr>
      </w:pPr>
      <w:r>
        <w:rPr>
          <w:rFonts w:hint="eastAsia" w:ascii="仿宋" w:hAnsi="仿宋" w:eastAsia="仿宋" w:cs="宋体"/>
          <w:b/>
          <w:color w:val="000000"/>
          <w:kern w:val="0"/>
          <w:highlight w:val="none"/>
          <w:lang w:val="zh-CN"/>
        </w:rPr>
        <w:t>预算绩效情况说明</w:t>
      </w:r>
    </w:p>
    <w:p>
      <w:pPr>
        <w:autoSpaceDE w:val="0"/>
        <w:autoSpaceDN w:val="0"/>
        <w:adjustRightInd w:val="0"/>
        <w:spacing w:line="360" w:lineRule="auto"/>
        <w:ind w:firstLine="643"/>
        <w:rPr>
          <w:rFonts w:hint="eastAsia" w:ascii="仿宋" w:hAnsi="仿宋" w:eastAsia="仿宋" w:cs="宋体"/>
          <w:b/>
          <w:kern w:val="0"/>
          <w:highlight w:val="none"/>
          <w:lang w:val="zh-CN"/>
        </w:rPr>
      </w:pPr>
      <w:r>
        <w:rPr>
          <w:rFonts w:hint="eastAsia" w:ascii="仿宋" w:hAnsi="仿宋" w:eastAsia="仿宋" w:cs="宋体"/>
          <w:b/>
          <w:kern w:val="0"/>
          <w:highlight w:val="none"/>
          <w:lang w:val="zh-CN"/>
        </w:rPr>
        <w:t>（一）绩效管理工作开展情况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宋体"/>
          <w:kern w:val="0"/>
          <w:highlight w:val="none"/>
          <w:lang w:val="en-US" w:eastAsia="zh-CN"/>
        </w:rPr>
      </w:pPr>
      <w:r>
        <w:rPr>
          <w:rFonts w:hint="eastAsia" w:ascii="仿宋" w:hAnsi="仿宋" w:eastAsia="仿宋" w:cs="宋体"/>
          <w:kern w:val="0"/>
          <w:highlight w:val="none"/>
          <w:lang w:val="en-US" w:eastAsia="zh-CN"/>
        </w:rPr>
        <w:t>2021年，我部门纳入预算绩效管理的支出总额为3772.50万元，其中人员经费支出949.35万元，公用经费支出92.28万元；支出项目共52个，支出金额2730.87万元。其中，进行项目绩效自评52个，自评金额3489.92万元；纳入重点绩效评价（部门评价或财政评价）0个，评价金额0万元。</w:t>
      </w:r>
    </w:p>
    <w:p>
      <w:pPr>
        <w:autoSpaceDE w:val="0"/>
        <w:autoSpaceDN w:val="0"/>
        <w:adjustRightInd w:val="0"/>
        <w:spacing w:line="360" w:lineRule="auto"/>
        <w:ind w:firstLine="643"/>
        <w:rPr>
          <w:rFonts w:hint="eastAsia" w:ascii="仿宋" w:hAnsi="仿宋" w:eastAsia="仿宋" w:cs="宋体"/>
          <w:b/>
          <w:kern w:val="0"/>
          <w:highlight w:val="none"/>
          <w:lang w:val="zh-CN"/>
        </w:rPr>
      </w:pPr>
      <w:r>
        <w:rPr>
          <w:rFonts w:hint="eastAsia" w:ascii="仿宋" w:hAnsi="仿宋" w:eastAsia="仿宋" w:cs="宋体"/>
          <w:b/>
          <w:kern w:val="0"/>
          <w:highlight w:val="none"/>
          <w:lang w:val="zh-CN"/>
        </w:rPr>
        <w:t>（二）项目绩效自评结果。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40" w:firstLineChars="200"/>
        <w:textAlignment w:val="auto"/>
        <w:rPr>
          <w:rFonts w:hint="default" w:ascii="仿宋" w:hAnsi="仿宋" w:eastAsia="仿宋" w:cs="宋体"/>
          <w:kern w:val="0"/>
          <w:highlight w:val="none"/>
          <w:lang w:val="en-US" w:eastAsia="zh-CN"/>
        </w:rPr>
      </w:pPr>
      <w:r>
        <w:rPr>
          <w:rFonts w:hint="eastAsia" w:ascii="仿宋" w:hAnsi="仿宋" w:eastAsia="仿宋" w:cs="宋体"/>
          <w:kern w:val="0"/>
          <w:highlight w:val="none"/>
          <w:lang w:val="en-US" w:eastAsia="zh-CN"/>
        </w:rPr>
        <w:t>我部门纳入预算绩效管理的项目52个，自评金额3489.92万元。其中自评分数小于100分且大于等于90分的项目47个，评价结果为优；自评分数小于90分且大于等于80分的项目2个，评价结果为良；自评分数小于80分且大于等于0分的项目3个，评价结果为中和差。</w:t>
      </w:r>
    </w:p>
    <w:p>
      <w:pPr>
        <w:autoSpaceDE w:val="0"/>
        <w:autoSpaceDN w:val="0"/>
        <w:adjustRightInd w:val="0"/>
        <w:spacing w:line="360" w:lineRule="auto"/>
        <w:ind w:firstLine="643"/>
        <w:rPr>
          <w:rFonts w:hint="eastAsia" w:ascii="仿宋" w:hAnsi="仿宋" w:eastAsia="仿宋" w:cs="宋体"/>
          <w:b/>
          <w:kern w:val="0"/>
          <w:highlight w:val="none"/>
          <w:lang w:val="zh-CN"/>
        </w:rPr>
      </w:pPr>
      <w:r>
        <w:rPr>
          <w:rFonts w:hint="eastAsia" w:ascii="仿宋" w:hAnsi="仿宋" w:eastAsia="仿宋" w:cs="宋体"/>
          <w:b/>
          <w:kern w:val="0"/>
          <w:highlight w:val="none"/>
          <w:lang w:val="zh-CN"/>
        </w:rPr>
        <w:t>（三）重点绩效评价结果。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宋体"/>
          <w:kern w:val="0"/>
          <w:highlight w:val="none"/>
          <w:lang w:val="en-US" w:eastAsia="zh-CN"/>
        </w:rPr>
      </w:pPr>
      <w:r>
        <w:rPr>
          <w:rFonts w:hint="eastAsia" w:ascii="仿宋" w:hAnsi="仿宋" w:eastAsia="仿宋" w:cs="宋体"/>
          <w:kern w:val="0"/>
          <w:highlight w:val="none"/>
          <w:lang w:val="en-US" w:eastAsia="zh-CN"/>
        </w:rPr>
        <w:t>我单位项目均不在重点项目绩效评价范围，故无</w:t>
      </w:r>
      <w:r>
        <w:rPr>
          <w:rFonts w:hint="eastAsia" w:ascii="仿宋" w:hAnsi="仿宋" w:eastAsia="仿宋" w:cs="宋体"/>
          <w:kern w:val="0"/>
          <w:highlight w:val="none"/>
          <w:lang w:val="zh-CN" w:eastAsia="zh-CN"/>
        </w:rPr>
        <w:t>重点绩效评价</w:t>
      </w:r>
      <w:r>
        <w:rPr>
          <w:rFonts w:hint="eastAsia" w:ascii="仿宋" w:hAnsi="仿宋" w:eastAsia="仿宋" w:cs="宋体"/>
          <w:kern w:val="0"/>
          <w:highlight w:val="none"/>
          <w:lang w:val="en-US" w:eastAsia="zh-CN"/>
        </w:rPr>
        <w:t>。</w:t>
      </w:r>
    </w:p>
    <w:p>
      <w:pPr>
        <w:autoSpaceDE w:val="0"/>
        <w:autoSpaceDN w:val="0"/>
        <w:adjustRightInd w:val="0"/>
        <w:spacing w:line="360" w:lineRule="auto"/>
        <w:ind w:firstLine="643"/>
        <w:rPr>
          <w:rFonts w:ascii="仿宋" w:hAnsi="仿宋" w:eastAsia="仿宋"/>
          <w:b/>
          <w:kern w:val="0"/>
          <w:highlight w:val="none"/>
          <w:lang w:val="zh-CN"/>
        </w:rPr>
      </w:pPr>
      <w:r>
        <w:rPr>
          <w:rFonts w:hint="eastAsia" w:ascii="仿宋" w:hAnsi="仿宋" w:eastAsia="仿宋" w:cs="宋体"/>
          <w:b/>
          <w:kern w:val="0"/>
          <w:highlight w:val="none"/>
          <w:lang w:val="zh-CN"/>
        </w:rPr>
        <w:t>九、政府性基金预算财政拨款支出决算情况说明</w:t>
      </w:r>
    </w:p>
    <w:p>
      <w:pPr>
        <w:autoSpaceDE w:val="0"/>
        <w:autoSpaceDN w:val="0"/>
        <w:adjustRightInd w:val="0"/>
        <w:spacing w:line="360" w:lineRule="auto"/>
        <w:ind w:firstLine="640"/>
        <w:rPr>
          <w:rFonts w:ascii="仿宋" w:hAnsi="仿宋" w:eastAsia="仿宋"/>
          <w:kern w:val="0"/>
          <w:highlight w:val="none"/>
          <w:lang w:val="zh-CN"/>
        </w:rPr>
      </w:pPr>
      <w:r>
        <w:rPr>
          <w:rFonts w:hint="eastAsia" w:ascii="仿宋" w:hAnsi="仿宋" w:eastAsia="仿宋" w:cs="宋体"/>
          <w:kern w:val="0"/>
          <w:highlight w:val="none"/>
          <w:lang w:val="zh-CN"/>
        </w:rPr>
        <w:t>202</w:t>
      </w:r>
      <w:r>
        <w:rPr>
          <w:rFonts w:hint="eastAsia" w:ascii="仿宋" w:hAnsi="仿宋" w:eastAsia="仿宋" w:cs="宋体"/>
          <w:kern w:val="0"/>
          <w:highlight w:val="none"/>
          <w:lang w:val="en-US" w:eastAsia="zh-CN"/>
        </w:rPr>
        <w:t>1</w:t>
      </w:r>
      <w:r>
        <w:rPr>
          <w:rFonts w:hint="eastAsia" w:ascii="仿宋" w:hAnsi="仿宋" w:eastAsia="仿宋" w:cs="宋体"/>
          <w:kern w:val="0"/>
          <w:highlight w:val="none"/>
          <w:lang w:val="zh-CN"/>
        </w:rPr>
        <w:t>年度政府性基金预算财政拨款支出年初预算为</w:t>
      </w:r>
      <w:r>
        <w:rPr>
          <w:rFonts w:hint="eastAsia" w:ascii="仿宋" w:hAnsi="仿宋" w:eastAsia="仿宋" w:cs="宋体"/>
          <w:kern w:val="0"/>
          <w:highlight w:val="none"/>
          <w:lang w:val="en-US" w:eastAsia="zh-CN"/>
        </w:rPr>
        <w:t>184.00</w:t>
      </w:r>
      <w:r>
        <w:rPr>
          <w:rFonts w:hint="eastAsia" w:ascii="仿宋" w:hAnsi="仿宋" w:eastAsia="仿宋" w:cs="宋体"/>
          <w:kern w:val="0"/>
          <w:highlight w:val="none"/>
          <w:lang w:val="zh-CN"/>
        </w:rPr>
        <w:t>万元，支出决算为</w:t>
      </w:r>
      <w:r>
        <w:rPr>
          <w:rFonts w:hint="eastAsia" w:ascii="仿宋" w:hAnsi="仿宋" w:eastAsia="仿宋" w:cs="宋体"/>
          <w:kern w:val="0"/>
          <w:highlight w:val="none"/>
          <w:lang w:val="en-US" w:eastAsia="zh-CN"/>
        </w:rPr>
        <w:t>366.93</w:t>
      </w:r>
      <w:r>
        <w:rPr>
          <w:rFonts w:hint="eastAsia" w:ascii="仿宋" w:hAnsi="仿宋" w:eastAsia="仿宋" w:cs="宋体"/>
          <w:kern w:val="0"/>
          <w:highlight w:val="none"/>
          <w:lang w:val="zh-CN"/>
        </w:rPr>
        <w:t>万元，完成年初预算的</w:t>
      </w:r>
      <w:r>
        <w:rPr>
          <w:rFonts w:hint="eastAsia" w:ascii="仿宋" w:hAnsi="仿宋" w:eastAsia="仿宋" w:cs="宋体"/>
          <w:kern w:val="0"/>
          <w:highlight w:val="none"/>
          <w:lang w:val="en-US" w:eastAsia="zh-CN"/>
        </w:rPr>
        <w:t>199.42</w:t>
      </w:r>
      <w:r>
        <w:rPr>
          <w:rFonts w:hint="eastAsia" w:ascii="仿宋" w:hAnsi="仿宋" w:eastAsia="仿宋" w:cs="宋体"/>
          <w:kern w:val="0"/>
          <w:highlight w:val="none"/>
          <w:lang w:val="zh-CN"/>
        </w:rPr>
        <w:t>%。主要用于土地出让业务支出、其他国有土地使用权出让收入安排的支出。</w:t>
      </w:r>
    </w:p>
    <w:p>
      <w:pPr>
        <w:autoSpaceDE w:val="0"/>
        <w:autoSpaceDN w:val="0"/>
        <w:adjustRightInd w:val="0"/>
        <w:spacing w:line="360" w:lineRule="auto"/>
        <w:ind w:firstLine="643"/>
        <w:rPr>
          <w:rFonts w:ascii="仿宋" w:hAnsi="仿宋" w:eastAsia="仿宋"/>
          <w:b/>
          <w:kern w:val="0"/>
          <w:highlight w:val="none"/>
          <w:lang w:val="zh-CN"/>
        </w:rPr>
      </w:pPr>
      <w:r>
        <w:rPr>
          <w:rFonts w:hint="eastAsia" w:ascii="仿宋" w:hAnsi="仿宋" w:eastAsia="仿宋" w:cs="宋体"/>
          <w:b/>
          <w:kern w:val="0"/>
          <w:highlight w:val="none"/>
          <w:lang w:val="zh-CN"/>
        </w:rPr>
        <w:t>十、机关运行经费支出情况说明</w:t>
      </w:r>
    </w:p>
    <w:p>
      <w:pPr>
        <w:widowControl w:val="0"/>
        <w:wordWrap/>
        <w:adjustRightInd w:val="0"/>
        <w:snapToGrid w:val="0"/>
        <w:spacing w:line="360" w:lineRule="auto"/>
        <w:ind w:firstLine="640" w:firstLineChars="200"/>
        <w:textAlignment w:val="auto"/>
        <w:rPr>
          <w:rFonts w:hint="eastAsia" w:ascii="仿宋" w:hAnsi="仿宋" w:eastAsia="仿宋" w:cs="仿宋"/>
          <w:highlight w:val="none"/>
        </w:rPr>
      </w:pPr>
      <w:r>
        <w:rPr>
          <w:rFonts w:hint="eastAsia" w:ascii="仿宋" w:hAnsi="仿宋" w:eastAsia="仿宋" w:cs="宋体"/>
          <w:color w:val="000000"/>
          <w:kern w:val="0"/>
          <w:highlight w:val="none"/>
          <w:lang w:val="zh-CN"/>
        </w:rPr>
        <w:t>202</w:t>
      </w:r>
      <w:r>
        <w:rPr>
          <w:rFonts w:hint="eastAsia" w:ascii="仿宋" w:hAnsi="仿宋" w:eastAsia="仿宋" w:cs="宋体"/>
          <w:color w:val="000000"/>
          <w:kern w:val="0"/>
          <w:highlight w:val="none"/>
          <w:lang w:val="en-US" w:eastAsia="zh-CN"/>
        </w:rPr>
        <w:t>1</w:t>
      </w:r>
      <w:r>
        <w:rPr>
          <w:rFonts w:hint="eastAsia" w:ascii="仿宋" w:hAnsi="仿宋" w:eastAsia="仿宋" w:cs="宋体"/>
          <w:color w:val="000000"/>
          <w:kern w:val="0"/>
          <w:highlight w:val="none"/>
          <w:lang w:val="zh-CN"/>
        </w:rPr>
        <w:t>年度机关运行经费初预算为</w:t>
      </w:r>
      <w:r>
        <w:rPr>
          <w:rFonts w:hint="eastAsia" w:ascii="仿宋" w:hAnsi="仿宋" w:eastAsia="仿宋" w:cs="宋体"/>
          <w:color w:val="000000"/>
          <w:kern w:val="0"/>
          <w:highlight w:val="none"/>
          <w:lang w:val="en-US" w:eastAsia="zh-CN"/>
        </w:rPr>
        <w:t>84.54</w:t>
      </w:r>
      <w:r>
        <w:rPr>
          <w:rFonts w:hint="eastAsia" w:ascii="仿宋" w:hAnsi="仿宋" w:eastAsia="仿宋" w:cs="宋体"/>
          <w:color w:val="000000"/>
          <w:kern w:val="0"/>
          <w:highlight w:val="none"/>
          <w:lang w:val="zh-CN"/>
        </w:rPr>
        <w:t>万元，支出决算为</w:t>
      </w:r>
      <w:r>
        <w:rPr>
          <w:rFonts w:hint="eastAsia" w:ascii="仿宋" w:hAnsi="仿宋" w:eastAsia="仿宋" w:cs="宋体"/>
          <w:color w:val="000000"/>
          <w:kern w:val="0"/>
          <w:highlight w:val="none"/>
          <w:lang w:val="en-US" w:eastAsia="zh-CN"/>
        </w:rPr>
        <w:t>92.28</w:t>
      </w:r>
      <w:r>
        <w:rPr>
          <w:rFonts w:hint="eastAsia" w:ascii="仿宋" w:hAnsi="仿宋" w:eastAsia="仿宋" w:cs="宋体"/>
          <w:color w:val="000000"/>
          <w:kern w:val="0"/>
          <w:highlight w:val="none"/>
          <w:lang w:val="zh-CN"/>
        </w:rPr>
        <w:t>万元，完成年初预算的</w:t>
      </w:r>
      <w:r>
        <w:rPr>
          <w:rFonts w:hint="eastAsia" w:ascii="仿宋" w:hAnsi="仿宋" w:eastAsia="仿宋" w:cs="宋体"/>
          <w:color w:val="000000"/>
          <w:kern w:val="0"/>
          <w:highlight w:val="none"/>
          <w:lang w:val="en-US" w:eastAsia="zh-CN"/>
        </w:rPr>
        <w:t>109.16</w:t>
      </w:r>
      <w:r>
        <w:rPr>
          <w:rFonts w:hint="eastAsia" w:ascii="仿宋" w:hAnsi="仿宋" w:eastAsia="仿宋" w:cs="宋体"/>
          <w:color w:val="000000"/>
          <w:kern w:val="0"/>
          <w:highlight w:val="none"/>
          <w:lang w:val="zh-CN"/>
        </w:rPr>
        <w:t>%。决算数与年初预算数存在差异的主要原因是</w:t>
      </w:r>
      <w:r>
        <w:rPr>
          <w:rFonts w:hint="eastAsia" w:ascii="仿宋" w:hAnsi="仿宋" w:eastAsia="仿宋" w:cs="宋体"/>
          <w:kern w:val="0"/>
          <w:highlight w:val="none"/>
          <w:lang w:val="zh-CN"/>
        </w:rPr>
        <w:t>业务增加，因此支出增加</w:t>
      </w:r>
      <w:r>
        <w:rPr>
          <w:rFonts w:hint="eastAsia" w:ascii="仿宋" w:hAnsi="仿宋" w:eastAsia="仿宋" w:cs="宋体"/>
          <w:color w:val="000000"/>
          <w:kern w:val="0"/>
          <w:highlight w:val="none"/>
          <w:lang w:val="zh-CN"/>
        </w:rPr>
        <w:t>。</w:t>
      </w:r>
    </w:p>
    <w:p>
      <w:pPr>
        <w:widowControl w:val="0"/>
        <w:wordWrap/>
        <w:adjustRightInd w:val="0"/>
        <w:snapToGrid w:val="0"/>
        <w:spacing w:line="360" w:lineRule="auto"/>
        <w:ind w:firstLine="640" w:firstLineChars="200"/>
        <w:textAlignment w:val="auto"/>
        <w:rPr>
          <w:rFonts w:hint="eastAsia" w:ascii="仿宋" w:hAnsi="仿宋" w:eastAsia="仿宋" w:cs="仿宋"/>
          <w:highlight w:val="none"/>
          <w:lang w:val="zh-CN"/>
        </w:rPr>
      </w:pPr>
      <w:r>
        <w:rPr>
          <w:rFonts w:hint="eastAsia" w:ascii="仿宋" w:hAnsi="仿宋" w:eastAsia="仿宋" w:cs="宋体"/>
          <w:color w:val="000000"/>
          <w:kern w:val="0"/>
          <w:highlight w:val="none"/>
          <w:lang w:val="zh-CN" w:eastAsia="zh-CN"/>
        </w:rPr>
        <w:t>2021年</w:t>
      </w:r>
      <w:r>
        <w:rPr>
          <w:rFonts w:hint="eastAsia" w:ascii="仿宋" w:hAnsi="仿宋" w:eastAsia="仿宋" w:cs="宋体"/>
          <w:color w:val="000000"/>
          <w:kern w:val="0"/>
          <w:highlight w:val="none"/>
          <w:lang w:val="zh-CN"/>
        </w:rPr>
        <w:t>度机关运行经费支出为</w:t>
      </w:r>
      <w:r>
        <w:rPr>
          <w:rFonts w:hint="eastAsia" w:ascii="仿宋" w:hAnsi="仿宋" w:eastAsia="仿宋" w:cs="宋体"/>
          <w:color w:val="000000"/>
          <w:kern w:val="0"/>
          <w:highlight w:val="none"/>
          <w:lang w:val="en-US" w:eastAsia="zh-CN"/>
        </w:rPr>
        <w:t>92.28</w:t>
      </w:r>
      <w:r>
        <w:rPr>
          <w:rFonts w:hint="eastAsia" w:ascii="仿宋" w:hAnsi="仿宋" w:eastAsia="仿宋" w:cs="宋体"/>
          <w:color w:val="000000"/>
          <w:kern w:val="0"/>
          <w:highlight w:val="none"/>
          <w:lang w:val="zh-CN"/>
        </w:rPr>
        <w:t>万元，较上年度增加</w:t>
      </w:r>
      <w:r>
        <w:rPr>
          <w:rFonts w:hint="eastAsia" w:ascii="仿宋" w:hAnsi="仿宋" w:eastAsia="仿宋" w:cs="宋体"/>
          <w:color w:val="000000"/>
          <w:kern w:val="0"/>
          <w:highlight w:val="none"/>
          <w:lang w:val="en-US" w:eastAsia="zh-CN"/>
        </w:rPr>
        <w:t>1.5</w:t>
      </w:r>
      <w:r>
        <w:rPr>
          <w:rFonts w:hint="eastAsia" w:ascii="仿宋" w:hAnsi="仿宋" w:eastAsia="仿宋" w:cs="宋体"/>
          <w:color w:val="000000"/>
          <w:kern w:val="0"/>
          <w:highlight w:val="none"/>
          <w:lang w:val="zh-CN"/>
        </w:rPr>
        <w:t>万元，增长</w:t>
      </w:r>
      <w:r>
        <w:rPr>
          <w:rFonts w:hint="eastAsia" w:ascii="仿宋" w:hAnsi="仿宋" w:eastAsia="仿宋" w:cs="宋体"/>
          <w:color w:val="000000"/>
          <w:kern w:val="0"/>
          <w:highlight w:val="none"/>
          <w:lang w:val="en-US" w:eastAsia="zh-CN"/>
        </w:rPr>
        <w:t>1.65</w:t>
      </w:r>
      <w:r>
        <w:rPr>
          <w:rFonts w:hint="eastAsia" w:ascii="仿宋" w:hAnsi="仿宋" w:eastAsia="仿宋" w:cs="宋体"/>
          <w:color w:val="000000"/>
          <w:kern w:val="0"/>
          <w:highlight w:val="none"/>
          <w:lang w:val="zh-CN"/>
        </w:rPr>
        <w:t>%。增加的主要原因是：</w:t>
      </w:r>
      <w:r>
        <w:rPr>
          <w:rFonts w:hint="eastAsia" w:ascii="仿宋" w:hAnsi="仿宋" w:eastAsia="仿宋" w:cs="宋体"/>
          <w:kern w:val="0"/>
          <w:highlight w:val="none"/>
          <w:lang w:val="zh-CN"/>
        </w:rPr>
        <w:t>业务增加，因此支出增加</w:t>
      </w:r>
      <w:r>
        <w:rPr>
          <w:rFonts w:hint="eastAsia" w:ascii="仿宋" w:hAnsi="仿宋" w:eastAsia="仿宋" w:cs="宋体"/>
          <w:color w:val="000000"/>
          <w:kern w:val="0"/>
          <w:highlight w:val="none"/>
          <w:lang w:val="zh-CN"/>
        </w:rPr>
        <w:t>。</w:t>
      </w:r>
    </w:p>
    <w:p>
      <w:pPr>
        <w:autoSpaceDE w:val="0"/>
        <w:autoSpaceDN w:val="0"/>
        <w:adjustRightInd w:val="0"/>
        <w:spacing w:line="360" w:lineRule="auto"/>
        <w:ind w:firstLine="643"/>
        <w:rPr>
          <w:rFonts w:ascii="仿宋" w:hAnsi="仿宋" w:eastAsia="仿宋"/>
          <w:b/>
          <w:kern w:val="0"/>
          <w:lang w:val="zh-CN"/>
        </w:rPr>
      </w:pPr>
      <w:r>
        <w:rPr>
          <w:rFonts w:hint="eastAsia" w:ascii="仿宋" w:hAnsi="仿宋" w:eastAsia="仿宋" w:cs="宋体"/>
          <w:b/>
          <w:kern w:val="0"/>
          <w:lang w:val="zh-CN"/>
        </w:rPr>
        <w:t>十一、政府采购支出情况说明</w:t>
      </w:r>
    </w:p>
    <w:p>
      <w:pPr>
        <w:autoSpaceDE w:val="0"/>
        <w:autoSpaceDN w:val="0"/>
        <w:adjustRightInd w:val="0"/>
        <w:spacing w:line="360" w:lineRule="auto"/>
        <w:ind w:firstLine="640"/>
        <w:rPr>
          <w:rFonts w:ascii="仿宋" w:hAnsi="仿宋" w:eastAsia="仿宋" w:cs="宋体"/>
          <w:kern w:val="0"/>
          <w:lang w:val="zh-CN"/>
        </w:rPr>
      </w:pPr>
      <w:r>
        <w:rPr>
          <w:rFonts w:ascii="仿宋" w:hAnsi="仿宋" w:eastAsia="仿宋" w:cs="宋体"/>
          <w:kern w:val="0"/>
          <w:lang w:val="zh-CN"/>
        </w:rPr>
        <w:t>202</w:t>
      </w:r>
      <w:r>
        <w:rPr>
          <w:rFonts w:hint="eastAsia" w:ascii="仿宋" w:hAnsi="仿宋" w:eastAsia="仿宋" w:cs="宋体"/>
          <w:kern w:val="0"/>
          <w:lang w:val="en-US" w:eastAsia="zh-CN"/>
        </w:rPr>
        <w:t>1</w:t>
      </w:r>
      <w:r>
        <w:rPr>
          <w:rFonts w:hint="eastAsia" w:ascii="仿宋" w:hAnsi="仿宋" w:eastAsia="仿宋" w:cs="宋体"/>
          <w:kern w:val="0"/>
          <w:lang w:val="zh-CN"/>
        </w:rPr>
        <w:t>年度政府采购支出总额</w:t>
      </w:r>
      <w:r>
        <w:rPr>
          <w:rFonts w:hint="eastAsia" w:ascii="仿宋" w:hAnsi="仿宋" w:eastAsia="仿宋" w:cs="宋体"/>
          <w:kern w:val="0"/>
          <w:lang w:val="en-US" w:eastAsia="zh-CN"/>
        </w:rPr>
        <w:t>0</w:t>
      </w:r>
      <w:r>
        <w:rPr>
          <w:rFonts w:hint="eastAsia" w:ascii="仿宋" w:hAnsi="仿宋" w:eastAsia="仿宋" w:cs="宋体"/>
          <w:kern w:val="0"/>
          <w:lang w:val="zh-CN"/>
        </w:rPr>
        <w:t>万元，其中：政府采购货物支出</w:t>
      </w:r>
      <w:r>
        <w:rPr>
          <w:rFonts w:hint="eastAsia" w:ascii="仿宋" w:hAnsi="仿宋" w:eastAsia="仿宋" w:cs="宋体"/>
          <w:kern w:val="0"/>
          <w:lang w:val="en-US" w:eastAsia="zh-CN"/>
        </w:rPr>
        <w:t>0</w:t>
      </w:r>
      <w:r>
        <w:rPr>
          <w:rFonts w:hint="eastAsia" w:ascii="仿宋" w:hAnsi="仿宋" w:eastAsia="仿宋" w:cs="宋体"/>
          <w:kern w:val="0"/>
          <w:lang w:val="zh-CN"/>
        </w:rPr>
        <w:t>万元、政府采购工程支出0万元、政府采购服务支出</w:t>
      </w:r>
      <w:r>
        <w:rPr>
          <w:rFonts w:ascii="仿宋" w:hAnsi="仿宋" w:eastAsia="仿宋" w:cs="宋体"/>
          <w:kern w:val="0"/>
          <w:lang w:val="zh-CN"/>
        </w:rPr>
        <w:t>0</w:t>
      </w:r>
      <w:r>
        <w:rPr>
          <w:rFonts w:hint="eastAsia" w:ascii="仿宋" w:hAnsi="仿宋" w:eastAsia="仿宋" w:cs="宋体"/>
          <w:kern w:val="0"/>
          <w:lang w:val="zh-CN"/>
        </w:rPr>
        <w:t>万元。授予中小企业合同金额</w:t>
      </w:r>
      <w:r>
        <w:rPr>
          <w:rFonts w:ascii="仿宋" w:hAnsi="仿宋" w:eastAsia="仿宋" w:cs="宋体"/>
          <w:kern w:val="0"/>
          <w:lang w:val="zh-CN"/>
        </w:rPr>
        <w:t>0</w:t>
      </w:r>
      <w:r>
        <w:rPr>
          <w:rFonts w:hint="eastAsia" w:ascii="仿宋" w:hAnsi="仿宋" w:eastAsia="仿宋" w:cs="宋体"/>
          <w:kern w:val="0"/>
          <w:lang w:val="zh-CN"/>
        </w:rPr>
        <w:t>万元，占政府采购支出总额的</w:t>
      </w:r>
      <w:r>
        <w:rPr>
          <w:rFonts w:ascii="仿宋" w:hAnsi="仿宋" w:eastAsia="仿宋" w:cs="宋体"/>
          <w:kern w:val="0"/>
          <w:lang w:val="zh-CN"/>
        </w:rPr>
        <w:t>0%</w:t>
      </w:r>
      <w:r>
        <w:rPr>
          <w:rFonts w:hint="eastAsia" w:ascii="仿宋" w:hAnsi="仿宋" w:eastAsia="仿宋" w:cs="宋体"/>
          <w:kern w:val="0"/>
          <w:lang w:val="zh-CN"/>
        </w:rPr>
        <w:t>。</w:t>
      </w:r>
    </w:p>
    <w:p>
      <w:pPr>
        <w:autoSpaceDE w:val="0"/>
        <w:autoSpaceDN w:val="0"/>
        <w:adjustRightInd w:val="0"/>
        <w:spacing w:line="360" w:lineRule="auto"/>
        <w:ind w:firstLine="643"/>
        <w:rPr>
          <w:rFonts w:ascii="仿宋" w:hAnsi="仿宋" w:eastAsia="仿宋"/>
          <w:b/>
          <w:color w:val="000000"/>
          <w:kern w:val="0"/>
          <w:lang w:val="zh-CN"/>
        </w:rPr>
      </w:pPr>
      <w:r>
        <w:rPr>
          <w:rFonts w:hint="eastAsia" w:ascii="仿宋" w:hAnsi="仿宋" w:eastAsia="仿宋" w:cs="宋体"/>
          <w:b/>
          <w:color w:val="000000"/>
          <w:kern w:val="0"/>
          <w:lang w:val="zh-CN"/>
        </w:rPr>
        <w:t>十二、国有资产占用情况说明</w:t>
      </w:r>
    </w:p>
    <w:p>
      <w:pPr>
        <w:autoSpaceDE w:val="0"/>
        <w:autoSpaceDN w:val="0"/>
        <w:adjustRightInd w:val="0"/>
        <w:ind w:firstLine="640"/>
        <w:jc w:val="left"/>
        <w:rPr>
          <w:rFonts w:ascii="仿宋" w:hAnsi="仿宋" w:eastAsia="仿宋" w:cs="宋体"/>
          <w:color w:val="000000"/>
          <w:kern w:val="0"/>
        </w:rPr>
      </w:pPr>
      <w:r>
        <w:rPr>
          <w:rFonts w:hint="eastAsia" w:ascii="仿宋" w:hAnsi="仿宋" w:eastAsia="仿宋" w:cs="宋体"/>
          <w:color w:val="000000"/>
          <w:kern w:val="0"/>
          <w:lang w:val="zh-CN"/>
        </w:rPr>
        <w:t>202</w:t>
      </w:r>
      <w:r>
        <w:rPr>
          <w:rFonts w:hint="eastAsia" w:ascii="仿宋" w:hAnsi="仿宋" w:eastAsia="仿宋" w:cs="宋体"/>
          <w:color w:val="000000"/>
          <w:kern w:val="0"/>
          <w:lang w:val="en-US" w:eastAsia="zh-CN"/>
        </w:rPr>
        <w:t>1</w:t>
      </w:r>
      <w:r>
        <w:rPr>
          <w:rFonts w:hint="eastAsia" w:ascii="仿宋" w:hAnsi="仿宋" w:eastAsia="仿宋" w:cs="宋体"/>
          <w:color w:val="000000"/>
          <w:kern w:val="0"/>
          <w:lang w:val="zh-CN"/>
        </w:rPr>
        <w:t>年期末，我单位共有车辆</w:t>
      </w:r>
      <w:r>
        <w:rPr>
          <w:rFonts w:hint="eastAsia" w:ascii="仿宋" w:hAnsi="仿宋" w:eastAsia="仿宋" w:cs="宋体"/>
          <w:color w:val="000000"/>
          <w:kern w:val="0"/>
          <w:lang w:val="en-US" w:eastAsia="zh-CN"/>
        </w:rPr>
        <w:t>2</w:t>
      </w:r>
      <w:r>
        <w:rPr>
          <w:rFonts w:hint="eastAsia" w:ascii="仿宋" w:hAnsi="仿宋" w:eastAsia="仿宋" w:cs="宋体"/>
          <w:color w:val="000000"/>
          <w:kern w:val="0"/>
          <w:lang w:val="zh-CN"/>
        </w:rPr>
        <w:t>辆，其中：省级领导干部用车0辆、主要领导干部用车0辆、机要通信用车0辆、应急保障车0辆、执法执勤用车</w:t>
      </w:r>
      <w:r>
        <w:rPr>
          <w:rFonts w:hint="eastAsia" w:ascii="仿宋" w:hAnsi="仿宋" w:eastAsia="仿宋" w:cs="宋体"/>
          <w:color w:val="000000"/>
          <w:kern w:val="0"/>
          <w:lang w:val="en-US" w:eastAsia="zh-CN"/>
        </w:rPr>
        <w:t>9</w:t>
      </w:r>
      <w:r>
        <w:rPr>
          <w:rFonts w:hint="eastAsia" w:ascii="仿宋" w:hAnsi="仿宋" w:eastAsia="仿宋" w:cs="宋体"/>
          <w:color w:val="000000"/>
          <w:kern w:val="0"/>
          <w:lang w:val="zh-CN"/>
        </w:rPr>
        <w:t>辆、特种专业技术用车0辆、离退休干部用车0辆、其他用车</w:t>
      </w:r>
      <w:r>
        <w:rPr>
          <w:rFonts w:hint="eastAsia" w:ascii="仿宋" w:hAnsi="仿宋" w:eastAsia="仿宋" w:cs="宋体"/>
          <w:color w:val="000000"/>
          <w:kern w:val="0"/>
          <w:lang w:val="en-US" w:eastAsia="zh-CN"/>
        </w:rPr>
        <w:t>2</w:t>
      </w:r>
      <w:r>
        <w:rPr>
          <w:rFonts w:hint="eastAsia" w:ascii="仿宋" w:hAnsi="仿宋" w:eastAsia="仿宋" w:cs="宋体"/>
          <w:color w:val="000000"/>
          <w:kern w:val="0"/>
          <w:lang w:val="zh-CN"/>
        </w:rPr>
        <w:t>辆；单位价值50万元以上通用设备0台（套），单位价值100万元以上专用设备0台（套）。</w:t>
      </w:r>
    </w:p>
    <w:p>
      <w:pPr>
        <w:kinsoku w:val="0"/>
        <w:overflowPunct w:val="0"/>
        <w:adjustRightInd w:val="0"/>
        <w:snapToGrid w:val="0"/>
        <w:spacing w:line="360" w:lineRule="auto"/>
        <w:ind w:right="521" w:firstLine="0" w:firstLineChars="0"/>
        <w:jc w:val="center"/>
        <w:rPr>
          <w:rFonts w:hint="eastAsia" w:ascii="黑体" w:hAnsi="黑体" w:eastAsia="黑体" w:cs="黑体"/>
          <w:sz w:val="48"/>
          <w:szCs w:val="48"/>
        </w:rPr>
      </w:pPr>
      <w:r>
        <w:rPr>
          <w:rFonts w:hint="eastAsia" w:ascii="黑体" w:hAnsi="黑体" w:eastAsia="黑体" w:cs="黑体"/>
          <w:sz w:val="48"/>
          <w:szCs w:val="48"/>
        </w:rPr>
        <w:br w:type="page"/>
      </w:r>
    </w:p>
    <w:p>
      <w:pPr>
        <w:kinsoku w:val="0"/>
        <w:overflowPunct w:val="0"/>
        <w:adjustRightInd w:val="0"/>
        <w:snapToGrid w:val="0"/>
        <w:spacing w:line="360" w:lineRule="auto"/>
        <w:ind w:right="521" w:firstLine="0" w:firstLineChars="0"/>
        <w:jc w:val="center"/>
        <w:rPr>
          <w:rFonts w:hint="eastAsia" w:ascii="黑体" w:hAnsi="黑体" w:eastAsia="黑体" w:cs="黑体"/>
          <w:sz w:val="48"/>
          <w:szCs w:val="48"/>
        </w:rPr>
      </w:pPr>
    </w:p>
    <w:p>
      <w:pPr>
        <w:kinsoku w:val="0"/>
        <w:overflowPunct w:val="0"/>
        <w:adjustRightInd w:val="0"/>
        <w:snapToGrid w:val="0"/>
        <w:spacing w:line="360" w:lineRule="auto"/>
        <w:ind w:right="521" w:firstLine="0" w:firstLineChars="0"/>
        <w:jc w:val="center"/>
        <w:rPr>
          <w:rFonts w:hint="eastAsia" w:ascii="黑体" w:hAnsi="黑体" w:eastAsia="黑体" w:cs="黑体"/>
          <w:sz w:val="48"/>
          <w:szCs w:val="48"/>
        </w:rPr>
      </w:pPr>
    </w:p>
    <w:p>
      <w:pPr>
        <w:kinsoku w:val="0"/>
        <w:overflowPunct w:val="0"/>
        <w:adjustRightInd w:val="0"/>
        <w:snapToGrid w:val="0"/>
        <w:spacing w:line="360" w:lineRule="auto"/>
        <w:ind w:right="521" w:firstLine="0" w:firstLineChars="0"/>
        <w:jc w:val="center"/>
        <w:rPr>
          <w:rFonts w:hint="eastAsia" w:ascii="黑体" w:hAnsi="黑体" w:eastAsia="黑体" w:cs="黑体"/>
          <w:sz w:val="48"/>
          <w:szCs w:val="48"/>
        </w:rPr>
      </w:pPr>
    </w:p>
    <w:p>
      <w:pPr>
        <w:kinsoku w:val="0"/>
        <w:overflowPunct w:val="0"/>
        <w:adjustRightInd w:val="0"/>
        <w:snapToGrid w:val="0"/>
        <w:spacing w:line="360" w:lineRule="auto"/>
        <w:ind w:right="521" w:firstLine="0" w:firstLineChars="0"/>
        <w:jc w:val="center"/>
        <w:rPr>
          <w:rFonts w:hint="eastAsia" w:ascii="黑体" w:hAnsi="黑体" w:eastAsia="黑体" w:cs="黑体"/>
          <w:sz w:val="48"/>
          <w:szCs w:val="48"/>
        </w:rPr>
      </w:pPr>
    </w:p>
    <w:p>
      <w:pPr>
        <w:kinsoku w:val="0"/>
        <w:overflowPunct w:val="0"/>
        <w:adjustRightInd w:val="0"/>
        <w:snapToGrid w:val="0"/>
        <w:spacing w:line="360" w:lineRule="auto"/>
        <w:ind w:right="521" w:firstLine="0" w:firstLineChars="0"/>
        <w:jc w:val="center"/>
        <w:rPr>
          <w:rFonts w:hint="eastAsia" w:ascii="黑体" w:hAnsi="黑体" w:eastAsia="黑体" w:cs="黑体"/>
          <w:sz w:val="48"/>
          <w:szCs w:val="48"/>
        </w:rPr>
      </w:pPr>
      <w:r>
        <w:rPr>
          <w:rFonts w:hint="eastAsia" w:ascii="黑体" w:hAnsi="黑体" w:eastAsia="黑体" w:cs="黑体"/>
          <w:sz w:val="48"/>
          <w:szCs w:val="48"/>
        </w:rPr>
        <w:t>第四部分</w:t>
      </w:r>
      <w:r>
        <w:rPr>
          <w:rFonts w:hint="eastAsia" w:ascii="黑体" w:hAnsi="黑体" w:eastAsia="黑体" w:cs="黑体"/>
          <w:spacing w:val="-32"/>
          <w:sz w:val="48"/>
          <w:szCs w:val="48"/>
        </w:rPr>
        <w:t xml:space="preserve">  </w:t>
      </w:r>
      <w:r>
        <w:rPr>
          <w:rFonts w:hint="eastAsia" w:ascii="黑体" w:hAnsi="黑体" w:eastAsia="黑体" w:cs="黑体"/>
          <w:sz w:val="48"/>
          <w:szCs w:val="48"/>
        </w:rPr>
        <w:t>名词解释</w:t>
      </w:r>
    </w:p>
    <w:p>
      <w:pPr>
        <w:kinsoku w:val="0"/>
        <w:overflowPunct w:val="0"/>
        <w:adjustRightInd w:val="0"/>
        <w:snapToGrid w:val="0"/>
        <w:spacing w:line="360" w:lineRule="auto"/>
        <w:ind w:right="521" w:firstLine="0" w:firstLineChars="0"/>
        <w:jc w:val="both"/>
        <w:rPr>
          <w:rFonts w:ascii="仿宋" w:hAnsi="仿宋" w:eastAsia="仿宋"/>
        </w:rPr>
      </w:pPr>
    </w:p>
    <w:p>
      <w:pPr>
        <w:pStyle w:val="2"/>
        <w:kinsoku w:val="0"/>
        <w:overflowPunct w:val="0"/>
        <w:snapToGrid w:val="0"/>
        <w:spacing w:line="360" w:lineRule="auto"/>
        <w:ind w:left="0" w:firstLine="640" w:firstLineChars="200"/>
        <w:jc w:val="both"/>
        <w:rPr>
          <w:rFonts w:ascii="仿宋" w:hAnsi="仿宋" w:eastAsia="仿宋" w:cs="Times New Roman"/>
        </w:rPr>
      </w:pPr>
      <w:r>
        <w:rPr>
          <w:rFonts w:hint="eastAsia" w:ascii="仿宋" w:hAnsi="仿宋" w:eastAsia="仿宋"/>
        </w:rPr>
        <w:br w:type="page"/>
      </w:r>
      <w:r>
        <w:rPr>
          <w:rFonts w:hint="eastAsia" w:ascii="仿宋" w:hAnsi="仿宋" w:eastAsia="仿宋"/>
        </w:rPr>
        <w:t>一、财政拨款收入：是指单位从同级政府财政部门取得的各类财政拨款。</w:t>
      </w:r>
    </w:p>
    <w:p>
      <w:pPr>
        <w:pStyle w:val="2"/>
        <w:kinsoku w:val="0"/>
        <w:overflowPunct w:val="0"/>
        <w:snapToGrid w:val="0"/>
        <w:spacing w:line="360" w:lineRule="auto"/>
        <w:ind w:left="0" w:firstLine="640" w:firstLineChars="200"/>
        <w:jc w:val="both"/>
        <w:rPr>
          <w:rFonts w:ascii="仿宋" w:hAnsi="仿宋" w:eastAsia="仿宋" w:cs="Times New Roman"/>
        </w:rPr>
      </w:pPr>
      <w:r>
        <w:rPr>
          <w:rFonts w:hint="eastAsia" w:ascii="仿宋" w:hAnsi="仿宋" w:eastAsia="仿宋"/>
        </w:rPr>
        <w:t>二、事业收入：是指事业单位开展专业活动及辅助活动所取得的收入。</w:t>
      </w:r>
    </w:p>
    <w:p>
      <w:pPr>
        <w:pStyle w:val="2"/>
        <w:kinsoku w:val="0"/>
        <w:overflowPunct w:val="0"/>
        <w:snapToGrid w:val="0"/>
        <w:spacing w:line="360" w:lineRule="auto"/>
        <w:ind w:left="0" w:firstLine="640" w:firstLineChars="200"/>
        <w:jc w:val="both"/>
        <w:rPr>
          <w:rFonts w:ascii="仿宋" w:hAnsi="仿宋" w:eastAsia="仿宋"/>
        </w:rPr>
      </w:pPr>
      <w:r>
        <w:rPr>
          <w:rFonts w:hint="eastAsia" w:ascii="仿宋" w:hAnsi="仿宋" w:eastAsia="仿宋"/>
        </w:rPr>
        <w:t xml:space="preserve">三、其他收入：是指部门取得的除“国土资源拨款”、“事业收入”、“事业单位经营收入”等以外的收入。 </w:t>
      </w:r>
    </w:p>
    <w:p>
      <w:pPr>
        <w:pStyle w:val="2"/>
        <w:kinsoku w:val="0"/>
        <w:overflowPunct w:val="0"/>
        <w:snapToGrid w:val="0"/>
        <w:spacing w:line="360" w:lineRule="auto"/>
        <w:ind w:left="0" w:firstLine="640" w:firstLineChars="200"/>
        <w:jc w:val="both"/>
        <w:rPr>
          <w:rFonts w:ascii="仿宋" w:hAnsi="仿宋" w:eastAsia="仿宋" w:cs="Times New Roman"/>
        </w:rPr>
      </w:pPr>
      <w:r>
        <w:rPr>
          <w:rFonts w:hint="eastAsia" w:ascii="仿宋" w:hAnsi="仿宋" w:eastAsia="仿宋"/>
        </w:rPr>
        <w:t>四、用事业基金弥补收支差额：是指事业单位在当年的“国土资源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2"/>
        <w:kinsoku w:val="0"/>
        <w:overflowPunct w:val="0"/>
        <w:snapToGrid w:val="0"/>
        <w:spacing w:line="360" w:lineRule="auto"/>
        <w:ind w:left="0" w:firstLine="640" w:firstLineChars="200"/>
        <w:jc w:val="both"/>
        <w:rPr>
          <w:rFonts w:ascii="仿宋" w:hAnsi="仿宋" w:eastAsia="仿宋" w:cs="Times New Roman"/>
        </w:rPr>
      </w:pPr>
      <w:r>
        <w:rPr>
          <w:rFonts w:hint="eastAsia" w:ascii="仿宋" w:hAnsi="仿宋" w:eastAsia="仿宋"/>
        </w:rPr>
        <w:t>五、上年结转和结余：是指以前年度支出预算因客观条件变化未执行完毕、结转到本年度按有关规定继续使用的资金，既包括国土资源拨款结转和结余，也包括事业收入、经营收入、其他收入的结转和结余。</w:t>
      </w:r>
    </w:p>
    <w:p>
      <w:pPr>
        <w:pStyle w:val="2"/>
        <w:kinsoku w:val="0"/>
        <w:overflowPunct w:val="0"/>
        <w:snapToGrid w:val="0"/>
        <w:spacing w:line="360" w:lineRule="auto"/>
        <w:ind w:left="0" w:firstLine="640" w:firstLineChars="200"/>
        <w:jc w:val="both"/>
        <w:rPr>
          <w:rFonts w:ascii="仿宋" w:hAnsi="仿宋" w:eastAsia="仿宋" w:cs="Times New Roman"/>
        </w:rPr>
      </w:pPr>
      <w:r>
        <w:rPr>
          <w:rFonts w:hint="eastAsia" w:ascii="仿宋" w:hAnsi="仿宋" w:eastAsia="仿宋"/>
        </w:rPr>
        <w:t>六、基本支出：是指为保障机构正常运转、完成日常工作任务所必需的开支，其内容包括人员经费和日常公用经费两部分。</w:t>
      </w:r>
    </w:p>
    <w:p>
      <w:pPr>
        <w:pStyle w:val="2"/>
        <w:kinsoku w:val="0"/>
        <w:overflowPunct w:val="0"/>
        <w:snapToGrid w:val="0"/>
        <w:spacing w:line="360" w:lineRule="auto"/>
        <w:ind w:left="0" w:firstLine="640" w:firstLineChars="200"/>
        <w:jc w:val="both"/>
        <w:rPr>
          <w:rFonts w:ascii="仿宋" w:hAnsi="仿宋" w:eastAsia="仿宋" w:cs="Times New Roman"/>
        </w:rPr>
      </w:pPr>
      <w:r>
        <w:rPr>
          <w:rFonts w:hint="eastAsia" w:ascii="仿宋" w:hAnsi="仿宋" w:eastAsia="仿宋"/>
        </w:rPr>
        <w:t>七、项目支出：是指在基本支出之外，为完成特定的行政工作任务或事业发展目标所发生的支出。</w:t>
      </w:r>
    </w:p>
    <w:p>
      <w:pPr>
        <w:pStyle w:val="2"/>
        <w:kinsoku w:val="0"/>
        <w:overflowPunct w:val="0"/>
        <w:snapToGrid w:val="0"/>
        <w:spacing w:line="360" w:lineRule="auto"/>
        <w:ind w:left="0" w:firstLine="640" w:firstLineChars="200"/>
        <w:jc w:val="both"/>
        <w:rPr>
          <w:rFonts w:ascii="仿宋" w:hAnsi="仿宋" w:eastAsia="仿宋" w:cs="Times New Roman"/>
        </w:rPr>
      </w:pPr>
      <w:r>
        <w:rPr>
          <w:rFonts w:hint="eastAsia" w:ascii="仿宋" w:hAnsi="仿宋" w:eastAsia="仿宋"/>
        </w:rPr>
        <w:t>八、“三公”经费：是指纳入同级财政预决算管理“三公经费”，部门使用国土资源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insoku w:val="0"/>
        <w:overflowPunct w:val="0"/>
        <w:snapToGrid w:val="0"/>
        <w:spacing w:line="360" w:lineRule="auto"/>
        <w:ind w:left="0" w:firstLine="640" w:firstLineChars="200"/>
        <w:jc w:val="both"/>
        <w:rPr>
          <w:rFonts w:ascii="仿宋" w:hAnsi="仿宋" w:eastAsia="仿宋"/>
        </w:rPr>
      </w:pPr>
      <w:r>
        <w:rPr>
          <w:rFonts w:hint="eastAsia" w:ascii="仿宋" w:hAnsi="仿宋" w:eastAsia="仿宋"/>
        </w:rPr>
        <w:t>九、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0" w:firstLineChars="0"/>
        <w:rPr>
          <w:rFonts w:ascii="仿宋" w:hAnsi="仿宋" w:eastAsia="仿宋"/>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306EC"/>
    <w:multiLevelType w:val="singleLevel"/>
    <w:tmpl w:val="18C306EC"/>
    <w:lvl w:ilvl="0" w:tentative="0">
      <w:start w:val="3"/>
      <w:numFmt w:val="decimal"/>
      <w:suff w:val="nothing"/>
      <w:lvlText w:val="%1、"/>
      <w:lvlJc w:val="left"/>
    </w:lvl>
  </w:abstractNum>
  <w:abstractNum w:abstractNumId="1">
    <w:nsid w:val="34B10227"/>
    <w:multiLevelType w:val="singleLevel"/>
    <w:tmpl w:val="34B10227"/>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DFkNmZhOTg3ZjllNzA2MTViZDVlODE3YmNkYmMifQ=="/>
  </w:docVars>
  <w:rsids>
    <w:rsidRoot w:val="00000000"/>
    <w:rsid w:val="0A997548"/>
    <w:rsid w:val="0F395252"/>
    <w:rsid w:val="11936E1B"/>
    <w:rsid w:val="145A3253"/>
    <w:rsid w:val="16816E45"/>
    <w:rsid w:val="234C3A8C"/>
    <w:rsid w:val="26381E62"/>
    <w:rsid w:val="27BB7CDD"/>
    <w:rsid w:val="29A053DC"/>
    <w:rsid w:val="2A4A4266"/>
    <w:rsid w:val="2C7843EE"/>
    <w:rsid w:val="2F815C0A"/>
    <w:rsid w:val="31AA55B8"/>
    <w:rsid w:val="34FF3630"/>
    <w:rsid w:val="3A91085B"/>
    <w:rsid w:val="3E8409D1"/>
    <w:rsid w:val="3EDC5B6D"/>
    <w:rsid w:val="4DBC5B34"/>
    <w:rsid w:val="50680152"/>
    <w:rsid w:val="544A5E70"/>
    <w:rsid w:val="57AE14F4"/>
    <w:rsid w:val="58C35768"/>
    <w:rsid w:val="5E7919F9"/>
    <w:rsid w:val="65390984"/>
    <w:rsid w:val="66E2139D"/>
    <w:rsid w:val="6D064B23"/>
    <w:rsid w:val="6FCC4420"/>
    <w:rsid w:val="72F25567"/>
    <w:rsid w:val="74BD01BD"/>
    <w:rsid w:val="75395FF8"/>
    <w:rsid w:val="77870F3C"/>
    <w:rsid w:val="799C4845"/>
    <w:rsid w:val="7B360F17"/>
    <w:rsid w:val="7CEC7892"/>
    <w:rsid w:val="7D382AD7"/>
    <w:rsid w:val="7D605EAC"/>
    <w:rsid w:val="7E2714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link w:val="9"/>
    <w:qFormat/>
    <w:uiPriority w:val="0"/>
    <w:pPr>
      <w:autoSpaceDE w:val="0"/>
      <w:autoSpaceDN w:val="0"/>
      <w:adjustRightInd w:val="0"/>
      <w:spacing w:line="240" w:lineRule="auto"/>
      <w:ind w:left="761" w:firstLine="0" w:firstLineChars="0"/>
      <w:jc w:val="left"/>
    </w:pPr>
    <w:rPr>
      <w:rFonts w:ascii="Times New Roman" w:hAnsi="Times New Roman" w:eastAsia="仿宋_GB2312" w:cs="Times New Roman"/>
      <w:sz w:val="32"/>
      <w:szCs w:val="32"/>
    </w:rPr>
  </w:style>
  <w:style w:type="paragraph" w:styleId="3">
    <w:name w:val="footer"/>
    <w:basedOn w:val="1"/>
    <w:link w:val="11"/>
    <w:qFormat/>
    <w:uiPriority w:val="0"/>
    <w:pPr>
      <w:tabs>
        <w:tab w:val="center" w:pos="4153"/>
        <w:tab w:val="right" w:pos="8306"/>
      </w:tabs>
      <w:snapToGrid w:val="0"/>
      <w:spacing w:line="240" w:lineRule="atLeast"/>
      <w:jc w:val="left"/>
    </w:pPr>
    <w:rPr>
      <w:rFonts w:ascii="Times New Roman" w:hAnsi="Times New Roman" w:eastAsia="仿宋_GB2312"/>
      <w:kern w:val="2"/>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eastAsia="仿宋_GB2312"/>
      <w:kern w:val="2"/>
      <w:sz w:val="18"/>
      <w:szCs w:val="18"/>
    </w:rPr>
  </w:style>
  <w:style w:type="character" w:customStyle="1" w:styleId="7">
    <w:name w:val="正文文本 Char"/>
    <w:basedOn w:val="6"/>
    <w:link w:val="2"/>
    <w:semiHidden/>
    <w:qFormat/>
    <w:uiPriority w:val="0"/>
    <w:rPr>
      <w:rFonts w:ascii="仿宋_GB2312" w:eastAsia="仿宋_GB2312" w:cs="仿宋_GB2312"/>
      <w:sz w:val="32"/>
      <w:szCs w:val="32"/>
    </w:rPr>
  </w:style>
  <w:style w:type="paragraph" w:customStyle="1" w:styleId="8">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9">
    <w:name w:val="正文文本 字符"/>
    <w:basedOn w:val="6"/>
    <w:link w:val="2"/>
    <w:semiHidden/>
    <w:qFormat/>
    <w:uiPriority w:val="0"/>
    <w:rPr>
      <w:rFonts w:ascii="Times New Roman" w:hAnsi="Times New Roman" w:eastAsia="仿宋_GB2312" w:cs="Times New Roman"/>
      <w:sz w:val="32"/>
      <w:szCs w:val="32"/>
    </w:rPr>
  </w:style>
  <w:style w:type="character" w:customStyle="1" w:styleId="10">
    <w:name w:val="页眉 字符"/>
    <w:basedOn w:val="6"/>
    <w:link w:val="4"/>
    <w:semiHidden/>
    <w:qFormat/>
    <w:uiPriority w:val="0"/>
    <w:rPr>
      <w:rFonts w:ascii="Times New Roman" w:hAnsi="Times New Roman" w:eastAsia="仿宋_GB2312"/>
      <w:kern w:val="2"/>
      <w:sz w:val="18"/>
      <w:szCs w:val="18"/>
    </w:rPr>
  </w:style>
  <w:style w:type="character" w:customStyle="1" w:styleId="11">
    <w:name w:val="页脚 字符"/>
    <w:basedOn w:val="6"/>
    <w:link w:val="3"/>
    <w:semiHidden/>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11711</Words>
  <Characters>12348</Characters>
  <Lines>52</Lines>
  <Paragraphs>14</Paragraphs>
  <TotalTime>1</TotalTime>
  <ScaleCrop>false</ScaleCrop>
  <LinksUpToDate>false</LinksUpToDate>
  <CharactersWithSpaces>12393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2020-10-27T17:01:00Z</dcterms:created>
  <dc:creator>Administrator</dc:creator>
  <cp:lastModifiedBy>夜明珠</cp:lastModifiedBy>
  <dcterms:modified xsi:type="dcterms:W3CDTF">2023-08-07T03:44:50Z</dcterms:modified>
  <dc:title>夜明珠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63E90EF406F440EE890A5E0455CA8EF7_13</vt:lpwstr>
  </property>
</Properties>
</file>