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《三门峡市209国道以西片区控制性详细规划》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公示说明</w:t>
      </w: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sz w:val="30"/>
          <w:szCs w:val="30"/>
        </w:rPr>
        <w:t>一、规划范围与规模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本次规划范围位于三门峡市中心城区西部，北依黄河，南至崤山西路-南湖路，西临陕州公园，东至209国道，规划范围总面积约</w:t>
      </w:r>
      <w:r>
        <w:rPr>
          <w:rFonts w:ascii="宋体" w:hAnsi="宋体"/>
          <w:sz w:val="28"/>
          <w:szCs w:val="28"/>
        </w:rPr>
        <w:t>159</w:t>
      </w:r>
      <w:r>
        <w:rPr>
          <w:rFonts w:hint="eastAsia" w:ascii="宋体" w:hAnsi="宋体"/>
          <w:sz w:val="28"/>
          <w:szCs w:val="28"/>
        </w:rPr>
        <w:t>公顷，人口容量约1.93万人。</w:t>
      </w: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sz w:val="30"/>
          <w:szCs w:val="30"/>
        </w:rPr>
        <w:t>二、功能定位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本次规划明确</w:t>
      </w:r>
      <w:r>
        <w:rPr>
          <w:rFonts w:ascii="宋体" w:hAnsi="宋体"/>
          <w:sz w:val="28"/>
          <w:szCs w:val="28"/>
        </w:rPr>
        <w:t>209国道以西片区功能定位为：</w:t>
      </w:r>
    </w:p>
    <w:p>
      <w:pPr>
        <w:ind w:firstLine="562" w:firstLineChars="20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沿黄半岛省际门户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209国道以西片区作为三门峡省际门户，应充分发挥黄河湾区“半岛经济”效应，发展以高端商务商贸、科创研发基地、文化旅游、教育培优为支撑的新型服务业，树立区域中心城市门户形象，打造黄河金三角新型省际城市门户节点。</w:t>
      </w: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sz w:val="30"/>
          <w:szCs w:val="30"/>
        </w:rPr>
        <w:t>三、空间布局结构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规划形成“一核双轴、圈层式多组团”的功能结构。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一核：依托现状商业基础，推进功能创新提升，形成商业商务服务核，集聚发展城市创新服务功能，提升城市门户形象。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双轴：依托</w:t>
      </w:r>
      <w:r>
        <w:rPr>
          <w:rFonts w:ascii="宋体" w:hAnsi="宋体"/>
          <w:sz w:val="28"/>
          <w:szCs w:val="28"/>
        </w:rPr>
        <w:t>209国道打造G209创新服务中轴，依托三门路打造商业服务横轴。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圈层式多组团：第一圈层打造商业商务服务圈，以商业商务组团为主；第二圈层打造人文宜居活力圈，以教育服务组团及居住组团为主；第三圈层打造生态文旅休闲圈，外围串联沿黄片区及城市公园。</w:t>
      </w: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sz w:val="30"/>
          <w:szCs w:val="30"/>
        </w:rPr>
        <w:t>四、用地构成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范围内城市建设用地总面积为158.02公顷，包括居住用地（R）、公共管理与公共服务设施用地（A）、商业服务业设施用地（B）、道路与交通设施用地（S）、公共设施用地（U）、绿地与广场用地（G）六个大类。除此之外，军事用地面积1.38公顷。规划范围总面积159.40公顷。</w:t>
      </w:r>
    </w:p>
    <w:p>
      <w:pPr>
        <w:pStyle w:val="2"/>
        <w:rPr>
          <w:b w:val="0"/>
          <w:bCs w:val="0"/>
          <w:sz w:val="30"/>
          <w:szCs w:val="30"/>
        </w:rPr>
      </w:pPr>
      <w:r>
        <w:rPr>
          <w:rFonts w:hint="eastAsia"/>
          <w:sz w:val="30"/>
          <w:szCs w:val="30"/>
        </w:rPr>
        <w:t>五、指标体系</w:t>
      </w:r>
    </w:p>
    <w:p>
      <w:pPr>
        <w:pStyle w:val="3"/>
      </w:pPr>
      <w:r>
        <w:rPr>
          <w:rFonts w:hint="eastAsia"/>
        </w:rPr>
        <w:t>1、容积率</w:t>
      </w:r>
    </w:p>
    <w:p>
      <w:pPr>
        <w:pStyle w:val="4"/>
      </w:pPr>
      <w:r>
        <w:rPr>
          <w:rFonts w:hint="eastAsia"/>
        </w:rPr>
        <w:t>（1）居住用地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二类居住用地容积率上限控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制在1</w:t>
      </w:r>
      <w:r>
        <w:rPr>
          <w:rFonts w:ascii="宋体" w:hAnsi="宋体"/>
          <w:sz w:val="28"/>
          <w:szCs w:val="28"/>
        </w:rPr>
        <w:t>.2-2.0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服务设施用地（幼儿园）容积率控制在0.7以内。</w:t>
      </w:r>
    </w:p>
    <w:p>
      <w:pPr>
        <w:pStyle w:val="4"/>
      </w:pPr>
      <w:r>
        <w:rPr>
          <w:rFonts w:hint="eastAsia"/>
        </w:rPr>
        <w:t>（2）公共管理与公共服务设施用地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文化设施用地容积率控制在1.5以内。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中小学用地容积率控制在1.0以内。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科研用地容积率控制在1.2以内。</w:t>
      </w:r>
    </w:p>
    <w:p>
      <w:pPr>
        <w:pStyle w:val="4"/>
      </w:pPr>
      <w:r>
        <w:rPr>
          <w:rFonts w:hint="eastAsia"/>
        </w:rPr>
        <w:t>（3）商业服务业设施用地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商业用地容积率上限控制在1</w:t>
      </w:r>
      <w:r>
        <w:rPr>
          <w:rFonts w:ascii="宋体" w:hAnsi="宋体"/>
          <w:sz w:val="28"/>
          <w:szCs w:val="28"/>
        </w:rPr>
        <w:t>.5-3.0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商务用地容积率控制在2.5以内。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加油加气站用地容积率控制在0.5以内。</w:t>
      </w:r>
    </w:p>
    <w:p>
      <w:pPr>
        <w:pStyle w:val="4"/>
      </w:pPr>
      <w:r>
        <w:rPr>
          <w:rFonts w:hint="eastAsia"/>
        </w:rPr>
        <w:t>（4）道路与交通设施用地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社会停车场用地容积率控制在1.5以内。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公共交通场站用地容积率控制在0.5以内。</w:t>
      </w:r>
    </w:p>
    <w:p>
      <w:pPr>
        <w:pStyle w:val="4"/>
      </w:pPr>
      <w:r>
        <w:rPr>
          <w:rFonts w:hint="eastAsia"/>
        </w:rPr>
        <w:t>（5）公用设施用地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供水、供热用地容积率控制在0.5以内。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消防用地容积率控制在1.5以内。</w:t>
      </w:r>
    </w:p>
    <w:p>
      <w:pPr>
        <w:pStyle w:val="3"/>
      </w:pPr>
      <w:r>
        <w:rPr>
          <w:rFonts w:hint="eastAsia"/>
        </w:rPr>
        <w:t>2、建筑高度</w:t>
      </w:r>
    </w:p>
    <w:p>
      <w:pPr>
        <w:pStyle w:val="4"/>
      </w:pPr>
      <w:r>
        <w:rPr>
          <w:rFonts w:hint="eastAsia"/>
        </w:rPr>
        <w:t>（1）居住用地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二类居住用地建筑高度上限控制在24-36米。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服务设施用地（幼儿园）建筑高度控制在18米以内。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（2）公共管理与公共服务设施用地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公共管理与公共服务设施用地建筑高度控制在24米以内。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（3）商业服务业设施用地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商业用地建筑高度上限控制为2</w:t>
      </w:r>
      <w:r>
        <w:rPr>
          <w:rFonts w:ascii="宋体" w:hAnsi="宋体"/>
          <w:sz w:val="28"/>
          <w:szCs w:val="28"/>
        </w:rPr>
        <w:t>4-</w:t>
      </w:r>
      <w:r>
        <w:rPr>
          <w:rFonts w:hint="eastAsia" w:ascii="宋体" w:hAnsi="宋体"/>
          <w:sz w:val="28"/>
          <w:szCs w:val="28"/>
        </w:rPr>
        <w:t>100米。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商务用地建筑高度均控制在80米以内。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加油加气站用地建筑高度控制在12米以内。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（4）道路与交通设施用地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道路与交通设施用地建筑高度均控制在24米以内。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（5）公用设施用地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供水用地建筑高度控制在15米以内。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供热用地建筑高度控制在9米以内。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消防用地建筑高度控制在24米以内。</w:t>
      </w:r>
    </w:p>
    <w:p>
      <w:pPr>
        <w:ind w:firstLine="562" w:firstLineChars="200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建筑密度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居住用地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二类居住用地建筑密度上限控制在20%-30%。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服务设施用地（幼儿园）建筑密度控制在35%以内。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公共管理与公共服务设施用地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文化设施用地建筑密度控制在30%以内。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中小学用地、科研用地建筑密度均控制在25%以内。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商业服务业设施用地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商业服务业设施用地建筑密度控制在40%以内。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（4）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道路与交通设施用地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公共交通场站用地建筑密度控制在20%以内。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社会停车场用地建筑密度控制在50%以内。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（5）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公用设施用地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供水、供热用地建筑密度控制在30%以内。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消防用地建筑密度控制在25%以内。</w:t>
      </w:r>
    </w:p>
    <w:p>
      <w:pPr>
        <w:ind w:firstLine="562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</w:t>
      </w:r>
      <w:r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绿地率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居住用地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二类居住用地绿地率下限控制在30%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-35%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服务设施用地（幼儿园）绿地率大于30%。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（2）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公共管理与公共服务设施用地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文化设施用地绿地率大于35%。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中小学用地绿地率大于25%。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科研用地绿地率大于35%。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商业服务业设施用地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商业服务业设施用地绿地率均大于25%。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（4）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道路与交通设施用地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公共交通场站用地绿地率大于25%。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社会停车场用地绿地率大于15%。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（5）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公用设施用地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供水用地绿地率大于30%。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供热用地绿地率大于35%。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消防用地绿地率大于40%。</w:t>
      </w:r>
    </w:p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六、公共服务设施</w:t>
      </w:r>
    </w:p>
    <w:p>
      <w:pPr>
        <w:pStyle w:val="3"/>
      </w:pPr>
      <w:r>
        <w:t>1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教育科研设施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中小学3所，总占地面积约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16.26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公顷。其中，现状保留1所高中，为三门峡市外国语高级中学；新增初中、小学各1所。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幼儿园4所，合计36班。其中，现状保留非独立占地2所，新增独立占地2所。独立占地幼儿园总占地1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.15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公顷。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其他教育设施1处，占地约1.65公顷。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科研用地1处，占地约1.06公顷。</w:t>
      </w:r>
    </w:p>
    <w:p>
      <w:pPr>
        <w:pStyle w:val="3"/>
      </w:pPr>
      <w:r>
        <w:t>2</w:t>
      </w:r>
      <w:r>
        <w:rPr>
          <w:rFonts w:hint="eastAsia"/>
        </w:rPr>
        <w:t>、文化设施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文化设施用地总面积约1.70公顷，其中，保留现状文创图书馆，新增1处文化活动中心（含青少年、老年人活动中心）。</w:t>
      </w:r>
    </w:p>
    <w:p>
      <w:pPr>
        <w:pStyle w:val="3"/>
      </w:pPr>
      <w:r>
        <w:t>3</w:t>
      </w:r>
      <w:r>
        <w:rPr>
          <w:rFonts w:hint="eastAsia"/>
        </w:rPr>
        <w:t>、体育设施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分钟生活圈理念，共规划2处社区级体育设施，其中，现状保留1处，新增1处。</w:t>
      </w:r>
    </w:p>
    <w:p>
      <w:pPr>
        <w:pStyle w:val="3"/>
      </w:pPr>
      <w:r>
        <w:t>4</w:t>
      </w:r>
      <w:r>
        <w:rPr>
          <w:rFonts w:hint="eastAsia"/>
        </w:rPr>
        <w:t>、医疗设施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分钟生活圈理念，共规划2处非独立占地的社区卫生服务站。其中，保留现状1处，新增1处。</w:t>
      </w:r>
    </w:p>
    <w:p>
      <w:pPr>
        <w:pStyle w:val="3"/>
      </w:pPr>
      <w:r>
        <w:t>5</w:t>
      </w:r>
      <w:r>
        <w:rPr>
          <w:rFonts w:hint="eastAsia"/>
        </w:rPr>
        <w:t>、社会福利设施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规划1处居住区级养老设施，4处居家养老服务设施，均为新增。</w:t>
      </w:r>
    </w:p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七、景观绿地规划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规划构建以生态景观带、景观节点为支撑的绿色空间结构，规划形成“一带、多园”的绿色空间格局。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一带：沿黄生态景观带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多园：城市景观节点+组团景观节点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规划区内绿地与广场用地面积13.93公顷，占城市建设用地面积的8.8%。其中，公园绿地面积10.27公顷，防护绿地面积0.79公顷，广场用地2.87公顷。人均绿地与广场用地约7.22平方米。</w:t>
      </w:r>
    </w:p>
    <w:p>
      <w:pPr>
        <w:pStyle w:val="2"/>
        <w:rPr>
          <w:sz w:val="30"/>
          <w:szCs w:val="30"/>
        </w:rPr>
      </w:pPr>
      <w:r>
        <w:rPr>
          <w:rFonts w:hint="eastAsia"/>
          <w:sz w:val="30"/>
          <w:szCs w:val="30"/>
        </w:rPr>
        <w:t>八、道路交通体系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hint="eastAsia" w:ascii="宋体" w:hAnsi="宋体"/>
          <w:b/>
          <w:bCs/>
          <w:sz w:val="28"/>
          <w:szCs w:val="28"/>
        </w:rPr>
        <w:t>道路系统规划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车行系统：</w:t>
      </w:r>
      <w:r>
        <w:rPr>
          <w:rFonts w:hint="eastAsia" w:ascii="宋体" w:hAnsi="宋体"/>
          <w:sz w:val="28"/>
          <w:szCs w:val="28"/>
        </w:rPr>
        <w:t>区域内道路系统分为国道、主干路、次干路、支路四级，形成“两横三纵”骨架路网。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两横：北环路、三门路；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三纵：砥柱路、分陕路、209国道。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2、公共交通场站规划</w:t>
      </w:r>
      <w:r>
        <w:rPr>
          <w:rFonts w:hint="eastAsia" w:ascii="宋体" w:hAnsi="宋体"/>
          <w:b/>
          <w:sz w:val="28"/>
          <w:szCs w:val="28"/>
        </w:rPr>
        <w:t>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规划范围内规划1处公共交通场站用地。</w:t>
      </w:r>
    </w:p>
    <w:p>
      <w:pPr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3、</w:t>
      </w:r>
      <w:r>
        <w:rPr>
          <w:rFonts w:hint="eastAsia" w:ascii="宋体" w:hAnsi="宋体"/>
          <w:b/>
          <w:sz w:val="28"/>
          <w:szCs w:val="28"/>
        </w:rPr>
        <w:t>停车设施规划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共规划2处独立占地社会公共停车场。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F2"/>
    <w:rsid w:val="0000120D"/>
    <w:rsid w:val="00034D83"/>
    <w:rsid w:val="00035C35"/>
    <w:rsid w:val="00072EB4"/>
    <w:rsid w:val="000741C9"/>
    <w:rsid w:val="000977A5"/>
    <w:rsid w:val="000A676F"/>
    <w:rsid w:val="000D4A3B"/>
    <w:rsid w:val="000F01ED"/>
    <w:rsid w:val="000F1B7E"/>
    <w:rsid w:val="000F6079"/>
    <w:rsid w:val="001409B4"/>
    <w:rsid w:val="00145ABB"/>
    <w:rsid w:val="00146DE2"/>
    <w:rsid w:val="00152F4F"/>
    <w:rsid w:val="00173CD9"/>
    <w:rsid w:val="00195A94"/>
    <w:rsid w:val="001A48DE"/>
    <w:rsid w:val="001B6ACD"/>
    <w:rsid w:val="001C21A9"/>
    <w:rsid w:val="001C7231"/>
    <w:rsid w:val="001E3015"/>
    <w:rsid w:val="001E3F72"/>
    <w:rsid w:val="001F22F4"/>
    <w:rsid w:val="00207EFE"/>
    <w:rsid w:val="00232FD9"/>
    <w:rsid w:val="00235F84"/>
    <w:rsid w:val="00251B83"/>
    <w:rsid w:val="00260378"/>
    <w:rsid w:val="002849DE"/>
    <w:rsid w:val="002B4694"/>
    <w:rsid w:val="002C2CEE"/>
    <w:rsid w:val="002C4990"/>
    <w:rsid w:val="002C7FB3"/>
    <w:rsid w:val="002E0B63"/>
    <w:rsid w:val="002E1F14"/>
    <w:rsid w:val="002E3202"/>
    <w:rsid w:val="002F3E91"/>
    <w:rsid w:val="002F4FE2"/>
    <w:rsid w:val="002F6F9F"/>
    <w:rsid w:val="00300D7A"/>
    <w:rsid w:val="00314819"/>
    <w:rsid w:val="003515E6"/>
    <w:rsid w:val="00357037"/>
    <w:rsid w:val="00367F1B"/>
    <w:rsid w:val="003717F8"/>
    <w:rsid w:val="0037282C"/>
    <w:rsid w:val="00377C65"/>
    <w:rsid w:val="00380B82"/>
    <w:rsid w:val="00386853"/>
    <w:rsid w:val="003B080F"/>
    <w:rsid w:val="003C3DDA"/>
    <w:rsid w:val="003C40DA"/>
    <w:rsid w:val="003D2608"/>
    <w:rsid w:val="003D57EA"/>
    <w:rsid w:val="003E63BE"/>
    <w:rsid w:val="003F7CB2"/>
    <w:rsid w:val="00402A6C"/>
    <w:rsid w:val="0041036E"/>
    <w:rsid w:val="004206B2"/>
    <w:rsid w:val="004212A5"/>
    <w:rsid w:val="00426D82"/>
    <w:rsid w:val="0044143E"/>
    <w:rsid w:val="004451EB"/>
    <w:rsid w:val="004540A7"/>
    <w:rsid w:val="00455F17"/>
    <w:rsid w:val="0046410F"/>
    <w:rsid w:val="00464540"/>
    <w:rsid w:val="0047014F"/>
    <w:rsid w:val="00491A9B"/>
    <w:rsid w:val="00493C5B"/>
    <w:rsid w:val="004A04FD"/>
    <w:rsid w:val="004A7A50"/>
    <w:rsid w:val="004B0057"/>
    <w:rsid w:val="004C2043"/>
    <w:rsid w:val="004C2A90"/>
    <w:rsid w:val="004D2D05"/>
    <w:rsid w:val="004E55CD"/>
    <w:rsid w:val="004E6B43"/>
    <w:rsid w:val="00511605"/>
    <w:rsid w:val="00512713"/>
    <w:rsid w:val="0051575E"/>
    <w:rsid w:val="00520045"/>
    <w:rsid w:val="00541E82"/>
    <w:rsid w:val="00545018"/>
    <w:rsid w:val="00551CC0"/>
    <w:rsid w:val="00552C43"/>
    <w:rsid w:val="00573BEC"/>
    <w:rsid w:val="0057441B"/>
    <w:rsid w:val="005B2D37"/>
    <w:rsid w:val="005B58C1"/>
    <w:rsid w:val="005D0C02"/>
    <w:rsid w:val="005D4B47"/>
    <w:rsid w:val="005E4274"/>
    <w:rsid w:val="005F276E"/>
    <w:rsid w:val="00610841"/>
    <w:rsid w:val="00620C50"/>
    <w:rsid w:val="00625915"/>
    <w:rsid w:val="0064112C"/>
    <w:rsid w:val="00647EF9"/>
    <w:rsid w:val="006502D9"/>
    <w:rsid w:val="00650E3A"/>
    <w:rsid w:val="00653350"/>
    <w:rsid w:val="006659E3"/>
    <w:rsid w:val="006867E6"/>
    <w:rsid w:val="00696A22"/>
    <w:rsid w:val="006A5C56"/>
    <w:rsid w:val="006C5C29"/>
    <w:rsid w:val="006D1FE1"/>
    <w:rsid w:val="006E3F24"/>
    <w:rsid w:val="006E4A21"/>
    <w:rsid w:val="006E54C0"/>
    <w:rsid w:val="006F45E9"/>
    <w:rsid w:val="00713E7F"/>
    <w:rsid w:val="0072415B"/>
    <w:rsid w:val="007326AD"/>
    <w:rsid w:val="00734826"/>
    <w:rsid w:val="007508FF"/>
    <w:rsid w:val="00755057"/>
    <w:rsid w:val="00761C37"/>
    <w:rsid w:val="00762F5C"/>
    <w:rsid w:val="007679C0"/>
    <w:rsid w:val="007742DE"/>
    <w:rsid w:val="00780686"/>
    <w:rsid w:val="0078214D"/>
    <w:rsid w:val="007832BF"/>
    <w:rsid w:val="00793723"/>
    <w:rsid w:val="007B00D0"/>
    <w:rsid w:val="007C0C2C"/>
    <w:rsid w:val="007C76A0"/>
    <w:rsid w:val="007D6A7A"/>
    <w:rsid w:val="007E0289"/>
    <w:rsid w:val="007E7E95"/>
    <w:rsid w:val="007F3EB2"/>
    <w:rsid w:val="007F5B7C"/>
    <w:rsid w:val="0080056F"/>
    <w:rsid w:val="00803DAE"/>
    <w:rsid w:val="00805364"/>
    <w:rsid w:val="008067CC"/>
    <w:rsid w:val="00817EA3"/>
    <w:rsid w:val="008212D5"/>
    <w:rsid w:val="008242E5"/>
    <w:rsid w:val="008304A9"/>
    <w:rsid w:val="00842101"/>
    <w:rsid w:val="00853BE9"/>
    <w:rsid w:val="00857607"/>
    <w:rsid w:val="008724E5"/>
    <w:rsid w:val="0088522F"/>
    <w:rsid w:val="00894201"/>
    <w:rsid w:val="008B65D6"/>
    <w:rsid w:val="008D299F"/>
    <w:rsid w:val="00900082"/>
    <w:rsid w:val="0091385B"/>
    <w:rsid w:val="00913E39"/>
    <w:rsid w:val="00923CD0"/>
    <w:rsid w:val="0092414D"/>
    <w:rsid w:val="009576CC"/>
    <w:rsid w:val="0096501C"/>
    <w:rsid w:val="0098062F"/>
    <w:rsid w:val="009B31CB"/>
    <w:rsid w:val="009C09F3"/>
    <w:rsid w:val="009C1971"/>
    <w:rsid w:val="009D0284"/>
    <w:rsid w:val="009E4D3C"/>
    <w:rsid w:val="009E6D59"/>
    <w:rsid w:val="009F03C2"/>
    <w:rsid w:val="00A25F19"/>
    <w:rsid w:val="00A27294"/>
    <w:rsid w:val="00A358C3"/>
    <w:rsid w:val="00A5578D"/>
    <w:rsid w:val="00A72E7A"/>
    <w:rsid w:val="00A777A4"/>
    <w:rsid w:val="00A808B0"/>
    <w:rsid w:val="00A83940"/>
    <w:rsid w:val="00A92891"/>
    <w:rsid w:val="00A97523"/>
    <w:rsid w:val="00AA073C"/>
    <w:rsid w:val="00AC2698"/>
    <w:rsid w:val="00AC2A60"/>
    <w:rsid w:val="00AD4ACE"/>
    <w:rsid w:val="00AE7D11"/>
    <w:rsid w:val="00AF66D4"/>
    <w:rsid w:val="00B04352"/>
    <w:rsid w:val="00B21674"/>
    <w:rsid w:val="00B36988"/>
    <w:rsid w:val="00B36CF8"/>
    <w:rsid w:val="00B6583F"/>
    <w:rsid w:val="00B708BE"/>
    <w:rsid w:val="00B747BE"/>
    <w:rsid w:val="00B749C9"/>
    <w:rsid w:val="00B751F1"/>
    <w:rsid w:val="00B83A86"/>
    <w:rsid w:val="00B85674"/>
    <w:rsid w:val="00B86B11"/>
    <w:rsid w:val="00BA010D"/>
    <w:rsid w:val="00BB0F05"/>
    <w:rsid w:val="00BB1CD1"/>
    <w:rsid w:val="00BB44FC"/>
    <w:rsid w:val="00BC2DB3"/>
    <w:rsid w:val="00BC49A3"/>
    <w:rsid w:val="00BC69D4"/>
    <w:rsid w:val="00BC77E0"/>
    <w:rsid w:val="00BD528C"/>
    <w:rsid w:val="00BE0AFB"/>
    <w:rsid w:val="00C1104F"/>
    <w:rsid w:val="00C16239"/>
    <w:rsid w:val="00C250F2"/>
    <w:rsid w:val="00C26743"/>
    <w:rsid w:val="00C774AE"/>
    <w:rsid w:val="00C86158"/>
    <w:rsid w:val="00C86517"/>
    <w:rsid w:val="00C967ED"/>
    <w:rsid w:val="00C971C0"/>
    <w:rsid w:val="00CA27F2"/>
    <w:rsid w:val="00CB07BA"/>
    <w:rsid w:val="00CB5C97"/>
    <w:rsid w:val="00CB7AEB"/>
    <w:rsid w:val="00CC5738"/>
    <w:rsid w:val="00CC7970"/>
    <w:rsid w:val="00CE041C"/>
    <w:rsid w:val="00CE240C"/>
    <w:rsid w:val="00CE3CD4"/>
    <w:rsid w:val="00CF0558"/>
    <w:rsid w:val="00D018E2"/>
    <w:rsid w:val="00D045AE"/>
    <w:rsid w:val="00D05F29"/>
    <w:rsid w:val="00D27752"/>
    <w:rsid w:val="00D57D7B"/>
    <w:rsid w:val="00D752D6"/>
    <w:rsid w:val="00DC155E"/>
    <w:rsid w:val="00DD07FF"/>
    <w:rsid w:val="00DD460F"/>
    <w:rsid w:val="00DD5BD6"/>
    <w:rsid w:val="00DD6618"/>
    <w:rsid w:val="00DF0C79"/>
    <w:rsid w:val="00DF4112"/>
    <w:rsid w:val="00E0094D"/>
    <w:rsid w:val="00E04FCD"/>
    <w:rsid w:val="00E16830"/>
    <w:rsid w:val="00E30C14"/>
    <w:rsid w:val="00E41FF8"/>
    <w:rsid w:val="00E5435C"/>
    <w:rsid w:val="00E75D14"/>
    <w:rsid w:val="00E92248"/>
    <w:rsid w:val="00E953E3"/>
    <w:rsid w:val="00E97D10"/>
    <w:rsid w:val="00EB7F0F"/>
    <w:rsid w:val="00EC0CD1"/>
    <w:rsid w:val="00ED7719"/>
    <w:rsid w:val="00EF5404"/>
    <w:rsid w:val="00F101EB"/>
    <w:rsid w:val="00F1064D"/>
    <w:rsid w:val="00F21BAB"/>
    <w:rsid w:val="00F5463E"/>
    <w:rsid w:val="00F626B4"/>
    <w:rsid w:val="00F635C5"/>
    <w:rsid w:val="00F6737E"/>
    <w:rsid w:val="00F828E1"/>
    <w:rsid w:val="00FA5154"/>
    <w:rsid w:val="00FA5280"/>
    <w:rsid w:val="00FB5E71"/>
    <w:rsid w:val="00FB6F48"/>
    <w:rsid w:val="00FB71CE"/>
    <w:rsid w:val="00FD59B7"/>
    <w:rsid w:val="00FF6FF1"/>
    <w:rsid w:val="05230801"/>
    <w:rsid w:val="0C604822"/>
    <w:rsid w:val="25B249DA"/>
    <w:rsid w:val="266D2349"/>
    <w:rsid w:val="30305886"/>
    <w:rsid w:val="349A20A9"/>
    <w:rsid w:val="3EF749E2"/>
    <w:rsid w:val="5A40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0"/>
    <w:unhideWhenUsed/>
    <w:qFormat/>
    <w:uiPriority w:val="0"/>
    <w:pPr>
      <w:ind w:firstLine="562" w:firstLineChars="200"/>
      <w:outlineLvl w:val="2"/>
    </w:pPr>
    <w:rPr>
      <w:rFonts w:ascii="宋体" w:hAnsi="宋体"/>
      <w:b/>
      <w:bCs/>
      <w:sz w:val="28"/>
      <w:szCs w:val="28"/>
    </w:rPr>
  </w:style>
  <w:style w:type="paragraph" w:styleId="4">
    <w:name w:val="heading 4"/>
    <w:basedOn w:val="1"/>
    <w:next w:val="1"/>
    <w:link w:val="21"/>
    <w:unhideWhenUsed/>
    <w:qFormat/>
    <w:uiPriority w:val="0"/>
    <w:pPr>
      <w:ind w:firstLine="560" w:firstLineChars="200"/>
      <w:outlineLvl w:val="3"/>
    </w:pPr>
    <w:rPr>
      <w:rFonts w:ascii="宋体" w:hAnsi="宋体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5"/>
    <w:qFormat/>
    <w:uiPriority w:val="0"/>
    <w:pPr>
      <w:jc w:val="left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6"/>
    <w:qFormat/>
    <w:uiPriority w:val="0"/>
    <w:rPr>
      <w:b/>
      <w:bCs/>
    </w:rPr>
  </w:style>
  <w:style w:type="character" w:styleId="12">
    <w:name w:val="annotation reference"/>
    <w:basedOn w:val="11"/>
    <w:uiPriority w:val="0"/>
    <w:rPr>
      <w:sz w:val="21"/>
      <w:szCs w:val="21"/>
    </w:rPr>
  </w:style>
  <w:style w:type="character" w:customStyle="1" w:styleId="13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1"/>
    <w:link w:val="5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9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8">
    <w:name w:val="标题 2 字符"/>
    <w:basedOn w:val="11"/>
    <w:link w:val="2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9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customStyle="1" w:styleId="20">
    <w:name w:val="标题 3 字符"/>
    <w:basedOn w:val="11"/>
    <w:link w:val="3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1">
    <w:name w:val="标题 4 字符"/>
    <w:basedOn w:val="11"/>
    <w:link w:val="4"/>
    <w:qFormat/>
    <w:uiPriority w:val="0"/>
    <w:rPr>
      <w:rFonts w:ascii="宋体" w:hAnsi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2C4B-B436-4B61-A156-7804DF0E2B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366</Words>
  <Characters>2089</Characters>
  <Lines>17</Lines>
  <Paragraphs>4</Paragraphs>
  <TotalTime>283</TotalTime>
  <ScaleCrop>false</ScaleCrop>
  <LinksUpToDate>false</LinksUpToDate>
  <CharactersWithSpaces>2451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2022-11-09T04:40:00Z</dcterms:created>
  <dc:creator>Administrator</dc:creator>
  <cp:lastModifiedBy>Administrator</cp:lastModifiedBy>
  <dcterms:modified xsi:type="dcterms:W3CDTF">2022-11-15T01:24:25Z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4DC978E903534CD9A53CDF0D504F0EE7</vt:lpwstr>
  </property>
</Properties>
</file>