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《三门峡市会兴片区城市设计和控制性详细规划》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公示说明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sz w:val="30"/>
          <w:szCs w:val="30"/>
        </w:rPr>
        <w:t>一、规划范围与规模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本次规划范围位于三门峡市中心城区东部，</w:t>
      </w:r>
      <w:bookmarkStart w:id="3" w:name="_GoBack"/>
      <w:bookmarkEnd w:id="3"/>
      <w:r>
        <w:rPr>
          <w:rFonts w:hint="eastAsia" w:ascii="宋体" w:hAnsi="宋体"/>
          <w:sz w:val="28"/>
          <w:szCs w:val="28"/>
        </w:rPr>
        <w:t>北邻黄河，南至北环路，西临黄河公园，规划范围总面积约</w:t>
      </w:r>
      <w:r>
        <w:rPr>
          <w:rFonts w:ascii="宋体" w:hAnsi="宋体"/>
          <w:sz w:val="28"/>
          <w:szCs w:val="28"/>
        </w:rPr>
        <w:t>98</w:t>
      </w:r>
      <w:r>
        <w:rPr>
          <w:rFonts w:hint="eastAsia" w:ascii="宋体" w:hAnsi="宋体"/>
          <w:sz w:val="28"/>
          <w:szCs w:val="28"/>
        </w:rPr>
        <w:t>公顷，人口容量约0.66万人。</w:t>
      </w: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sz w:val="30"/>
          <w:szCs w:val="30"/>
        </w:rPr>
        <w:t>二、功能定位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本次规划明确会兴片区功能定位为：</w:t>
      </w:r>
    </w:p>
    <w:p>
      <w:pPr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缘会千年古渡</w:t>
      </w:r>
      <w:r>
        <w:rPr>
          <w:rFonts w:ascii="宋体" w:hAnsi="宋体"/>
          <w:b/>
          <w:sz w:val="28"/>
          <w:szCs w:val="28"/>
        </w:rPr>
        <w:t>,复兴小镇生活</w:t>
      </w:r>
    </w:p>
    <w:p>
      <w:pPr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建设黄河文化旅游带的重要旅游示范节点</w:t>
      </w:r>
    </w:p>
    <w:p>
      <w:pPr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打造三门峡城市高质量转型发展示范片区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以文化旅游为特色，休闲度假、康养宜居等功能于一体的城景融合的城市更新特色片区。</w:t>
      </w: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sz w:val="30"/>
          <w:szCs w:val="30"/>
        </w:rPr>
        <w:t>三、空间布局结构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规划形成“三大界面建构会兴空间格局，五大分区丰富会兴功能内涵，慢行交通承载会兴故事游线，六大节点聚焦会兴活力引擎”的功能结构。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三大界面建构会兴空间格局：依托湖大铁路公园界面、滨黄文化生态界面、古镇南北主街界面共，塑造总体空间格局。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五大分区丰富会兴功能内涵：划定文化体验、绿谷氧吧、乐活休闲、康养旅居、民俗生活五大分区，落实各类功能。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慢行交通承载会兴故事游线：构建覆盖全区的慢性路网体系。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六大节点聚焦会兴活力引擎：形成会兴渡口、小北门、老戏台、古镇南门、小东门和古镇东门户六大节点，彰显片区特色。</w:t>
      </w: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sz w:val="30"/>
          <w:szCs w:val="30"/>
        </w:rPr>
        <w:t>四、用地构成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范围内城市建设用地总面积为82.51公顷，包括居住用地（R）、公共管理与公共服务设施用地（A）、商业服务业设施用地（B）、道路与交通设施用地（S）、公共设施用地（U）、绿地与广场用地（G）六个大类。除此之外，农林用地面积15.75公顷。规划范围内总用地面积98.26公顷。</w:t>
      </w:r>
    </w:p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五、指标体系</w:t>
      </w:r>
    </w:p>
    <w:p>
      <w:pPr>
        <w:pStyle w:val="3"/>
      </w:pPr>
      <w:r>
        <w:rPr>
          <w:rFonts w:hint="eastAsia"/>
        </w:rPr>
        <w:t>1、容积率</w:t>
      </w:r>
    </w:p>
    <w:p>
      <w:pPr>
        <w:pStyle w:val="4"/>
      </w:pPr>
      <w:r>
        <w:rPr>
          <w:rFonts w:hint="eastAsia"/>
        </w:rPr>
        <w:t>（1）居住用地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二类居住用地容积率上限控制在1.1-</w:t>
      </w:r>
      <w:r>
        <w:rPr>
          <w:rFonts w:ascii="宋体" w:hAnsi="宋体"/>
          <w:sz w:val="28"/>
          <w:szCs w:val="28"/>
        </w:rPr>
        <w:t>1.7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服务设施用地（幼儿园）容积率控制在0.7以内。</w:t>
      </w:r>
    </w:p>
    <w:p>
      <w:pPr>
        <w:pStyle w:val="4"/>
      </w:pPr>
      <w:r>
        <w:rPr>
          <w:rFonts w:hint="eastAsia"/>
        </w:rPr>
        <w:t>（2）公共管理与公共服务设施用地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行政办公、文化设施用地容积率控制在1.5以内。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中小学用地容积率控制在0.8以内。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特殊教育、体育、医疗卫生及社会福利用地容积率均控制在1.0以内。</w:t>
      </w:r>
    </w:p>
    <w:p>
      <w:pPr>
        <w:pStyle w:val="4"/>
      </w:pPr>
      <w:r>
        <w:rPr>
          <w:rFonts w:hint="eastAsia"/>
        </w:rPr>
        <w:t>（3）商业用地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商业用地容积率上限控制在1.2-1.5。</w:t>
      </w:r>
    </w:p>
    <w:p>
      <w:pPr>
        <w:pStyle w:val="4"/>
      </w:pPr>
      <w:r>
        <w:rPr>
          <w:rFonts w:hint="eastAsia"/>
        </w:rPr>
        <w:t>（4）道路与交通设施用地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道路与交通设施用地容积率控制在0.5以内。</w:t>
      </w:r>
    </w:p>
    <w:p>
      <w:pPr>
        <w:pStyle w:val="4"/>
      </w:pPr>
      <w:r>
        <w:rPr>
          <w:rFonts w:hint="eastAsia"/>
        </w:rPr>
        <w:t>（5）公用设施用地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公用设施用地容积率控制在0.5以内。</w:t>
      </w:r>
    </w:p>
    <w:p>
      <w:pPr>
        <w:pStyle w:val="3"/>
        <w:rPr>
          <w:b w:val="0"/>
          <w:bCs w:val="0"/>
        </w:rPr>
      </w:pPr>
      <w:r>
        <w:rPr>
          <w:rFonts w:hint="eastAsia"/>
        </w:rPr>
        <w:t>2、建筑高度</w:t>
      </w:r>
    </w:p>
    <w:p>
      <w:pPr>
        <w:pStyle w:val="4"/>
      </w:pPr>
      <w:r>
        <w:rPr>
          <w:rFonts w:hint="eastAsia"/>
        </w:rPr>
        <w:t>（1）居住用地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bookmarkStart w:id="0" w:name="_Hlk97888506"/>
      <w:r>
        <w:rPr>
          <w:rFonts w:hint="eastAsia" w:ascii="宋体" w:hAnsi="宋体"/>
          <w:sz w:val="28"/>
          <w:szCs w:val="28"/>
        </w:rPr>
        <w:t>二类居住用地建筑高度上限控制在11</w:t>
      </w:r>
      <w:r>
        <w:rPr>
          <w:rFonts w:ascii="宋体" w:hAnsi="宋体"/>
          <w:sz w:val="28"/>
          <w:szCs w:val="28"/>
        </w:rPr>
        <w:t>米</w:t>
      </w:r>
      <w:r>
        <w:rPr>
          <w:rFonts w:hint="eastAsia" w:ascii="宋体" w:hAnsi="宋体"/>
          <w:sz w:val="28"/>
          <w:szCs w:val="28"/>
        </w:rPr>
        <w:t>-36米。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服务设施用地（幼儿园）建筑高度控制在18米以内。</w:t>
      </w:r>
    </w:p>
    <w:bookmarkEnd w:id="0"/>
    <w:p>
      <w:pPr>
        <w:pStyle w:val="4"/>
      </w:pPr>
      <w:r>
        <w:rPr>
          <w:rFonts w:hint="eastAsia"/>
        </w:rPr>
        <w:t>（2）公共管理与公共服务设施用地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bookmarkStart w:id="1" w:name="_Hlk97888532"/>
      <w:r>
        <w:rPr>
          <w:rFonts w:hint="eastAsia" w:ascii="宋体" w:hAnsi="宋体"/>
          <w:sz w:val="28"/>
          <w:szCs w:val="28"/>
        </w:rPr>
        <w:t>行政办公、文化设施用地建筑高度均控制在18米以内。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中小学及特殊教育用地建筑高度控制在24米以内。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体育、医疗卫生、社会福利用地建筑高度均控制在15米以内。</w:t>
      </w:r>
    </w:p>
    <w:bookmarkEnd w:id="1"/>
    <w:p>
      <w:pPr>
        <w:pStyle w:val="4"/>
      </w:pPr>
      <w:r>
        <w:rPr>
          <w:rFonts w:hint="eastAsia"/>
        </w:rPr>
        <w:t>（3）商业用地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bookmarkStart w:id="2" w:name="_Hlk97888545"/>
      <w:r>
        <w:rPr>
          <w:rFonts w:hint="eastAsia" w:ascii="宋体" w:hAnsi="宋体"/>
          <w:sz w:val="28"/>
          <w:szCs w:val="28"/>
        </w:rPr>
        <w:t>商业用地建筑高度上限控制在12-18米。</w:t>
      </w:r>
    </w:p>
    <w:bookmarkEnd w:id="2"/>
    <w:p>
      <w:pPr>
        <w:pStyle w:val="4"/>
      </w:pPr>
      <w:r>
        <w:rPr>
          <w:rFonts w:hint="eastAsia"/>
        </w:rPr>
        <w:t>（4）道路与交通设施用地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道路与交通设施用地建筑高度控制在18米以内。</w:t>
      </w:r>
    </w:p>
    <w:p>
      <w:pPr>
        <w:pStyle w:val="4"/>
      </w:pPr>
      <w:r>
        <w:rPr>
          <w:rFonts w:hint="eastAsia"/>
        </w:rPr>
        <w:t>（5）公用设施用地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公用设施用地建筑高度控制在15米以内。</w:t>
      </w:r>
    </w:p>
    <w:p>
      <w:pPr>
        <w:pStyle w:val="3"/>
      </w:pPr>
      <w:r>
        <w:rPr>
          <w:rFonts w:hint="eastAsia"/>
        </w:rPr>
        <w:t>3、</w:t>
      </w:r>
      <w:r>
        <w:t>建筑密度</w:t>
      </w:r>
    </w:p>
    <w:p>
      <w:pPr>
        <w:pStyle w:val="4"/>
      </w:pPr>
      <w:r>
        <w:rPr>
          <w:rFonts w:hint="eastAsia"/>
        </w:rPr>
        <w:t>（1）居住用地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二类居住用地建筑密度上限控制在28%-47%。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服务设施用地（幼儿园）建筑密度控制在40%以内。</w:t>
      </w:r>
    </w:p>
    <w:p>
      <w:pPr>
        <w:pStyle w:val="4"/>
      </w:pPr>
      <w:r>
        <w:rPr>
          <w:rFonts w:hint="eastAsia"/>
        </w:rPr>
        <w:t>（2）公共管理与公共服务设施用地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行政办公用地建筑密度控制在35%以内。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文化设施用地建筑密度控制在30%以内。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中小学、特殊教育、体育、医疗卫生用地建筑密度均控制在35%以内。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社会福利用地建筑密度控制在30%以内。</w:t>
      </w:r>
    </w:p>
    <w:p>
      <w:pPr>
        <w:pStyle w:val="4"/>
      </w:pPr>
      <w:r>
        <w:rPr>
          <w:rFonts w:hint="eastAsia"/>
        </w:rPr>
        <w:t>（3）商业用地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商业用地建筑密度控制在45%以内。</w:t>
      </w:r>
    </w:p>
    <w:p>
      <w:pPr>
        <w:pStyle w:val="4"/>
      </w:pPr>
      <w:r>
        <w:rPr>
          <w:rFonts w:hint="eastAsia"/>
        </w:rPr>
        <w:t>（4）道路与交通设施用地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道路与交通设施用地建筑密度控制在20%以内。</w:t>
      </w:r>
    </w:p>
    <w:p>
      <w:pPr>
        <w:pStyle w:val="4"/>
      </w:pPr>
      <w:r>
        <w:rPr>
          <w:rFonts w:hint="eastAsia"/>
        </w:rPr>
        <w:t>（5）公用设施用地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公用设施用地建筑密度控制在40%以内。</w:t>
      </w:r>
    </w:p>
    <w:p>
      <w:pPr>
        <w:pStyle w:val="3"/>
      </w:pPr>
      <w:r>
        <w:rPr>
          <w:rFonts w:hint="eastAsia"/>
        </w:rPr>
        <w:t>4、</w:t>
      </w:r>
      <w:r>
        <w:t>绿地率</w:t>
      </w:r>
    </w:p>
    <w:p>
      <w:pPr>
        <w:pStyle w:val="4"/>
      </w:pPr>
      <w:r>
        <w:rPr>
          <w:rFonts w:hint="eastAsia"/>
        </w:rPr>
        <w:t>（1）居住用地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二类居住用地</w:t>
      </w:r>
      <w:r>
        <w:rPr>
          <w:rFonts w:hint="eastAsia" w:ascii="宋体" w:hAnsi="宋体"/>
          <w:sz w:val="28"/>
          <w:szCs w:val="28"/>
        </w:rPr>
        <w:t>绿地率下线控制在23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>30%。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服务设施用地（幼儿园）绿地率大于25%。</w:t>
      </w:r>
    </w:p>
    <w:p>
      <w:pPr>
        <w:pStyle w:val="4"/>
      </w:pPr>
      <w:r>
        <w:rPr>
          <w:rFonts w:hint="eastAsia"/>
        </w:rPr>
        <w:t>（2）公共管理与公共服务设施用地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公共管理与公共服务设施用地的绿地率大于35%。</w:t>
      </w:r>
    </w:p>
    <w:p>
      <w:pPr>
        <w:pStyle w:val="4"/>
      </w:pPr>
      <w:r>
        <w:rPr>
          <w:rFonts w:hint="eastAsia"/>
        </w:rPr>
        <w:t>（3）商业服务业设施用地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商业服务业设施用地绿地率大于25%。</w:t>
      </w:r>
    </w:p>
    <w:p>
      <w:pPr>
        <w:pStyle w:val="4"/>
      </w:pPr>
      <w:r>
        <w:rPr>
          <w:rFonts w:hint="eastAsia"/>
        </w:rPr>
        <w:t>（4）道路与交通设施用地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道路与交通设施用地绿地率大于25%。</w:t>
      </w:r>
    </w:p>
    <w:p>
      <w:pPr>
        <w:pStyle w:val="4"/>
      </w:pPr>
      <w:r>
        <w:rPr>
          <w:rFonts w:hint="eastAsia"/>
        </w:rPr>
        <w:t>（5）公用设施用地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公用设施用地绿地率大于25%。</w:t>
      </w:r>
    </w:p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六、公共服务设施</w:t>
      </w:r>
    </w:p>
    <w:p>
      <w:pPr>
        <w:pStyle w:val="3"/>
      </w:pPr>
      <w:r>
        <w:t>1</w:t>
      </w:r>
      <w:r>
        <w:rPr>
          <w:rFonts w:hint="eastAsia"/>
        </w:rPr>
        <w:t>、教育科研设施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中小学2所,总占地面积约</w:t>
      </w:r>
      <w:r>
        <w:rPr>
          <w:rFonts w:ascii="宋体" w:hAnsi="宋体"/>
          <w:sz w:val="28"/>
          <w:szCs w:val="28"/>
        </w:rPr>
        <w:t>4.14</w:t>
      </w:r>
      <w:r>
        <w:rPr>
          <w:rFonts w:hint="eastAsia" w:ascii="宋体" w:hAnsi="宋体"/>
          <w:sz w:val="28"/>
          <w:szCs w:val="28"/>
        </w:rPr>
        <w:t>公顷，均为现状保留。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特殊教育学校1所，占地约</w:t>
      </w:r>
      <w:r>
        <w:rPr>
          <w:rFonts w:ascii="宋体" w:hAnsi="宋体"/>
          <w:sz w:val="28"/>
          <w:szCs w:val="28"/>
        </w:rPr>
        <w:t>1.57</w:t>
      </w:r>
      <w:r>
        <w:rPr>
          <w:rFonts w:hint="eastAsia" w:ascii="宋体" w:hAnsi="宋体"/>
          <w:sz w:val="28"/>
          <w:szCs w:val="28"/>
        </w:rPr>
        <w:t>公顷, 为现状扩建。</w:t>
      </w:r>
    </w:p>
    <w:p>
      <w:pPr>
        <w:pStyle w:val="3"/>
      </w:pPr>
      <w:r>
        <w:t>2</w:t>
      </w:r>
      <w:r>
        <w:rPr>
          <w:rFonts w:hint="eastAsia"/>
        </w:rPr>
        <w:t>、文化设施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共规划2处文化设施用地，总占地面积约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0.46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公顷。1处为现状保留，1处为规划新增。</w:t>
      </w:r>
    </w:p>
    <w:p>
      <w:pPr>
        <w:pStyle w:val="3"/>
      </w:pPr>
      <w:r>
        <w:t>3</w:t>
      </w:r>
      <w:r>
        <w:rPr>
          <w:rFonts w:hint="eastAsia"/>
        </w:rPr>
        <w:t>、体育设施</w:t>
      </w:r>
    </w:p>
    <w:p>
      <w:pPr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分钟生活圈理念，规划1处居住区大型多功能体育运动场地，占地约1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.36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公顷，服务半径不宜大于1000米，宜集中设置篮球、排球、7人足球场地。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规划2处社区级体育设施，与公园绿地合建。</w:t>
      </w:r>
    </w:p>
    <w:p>
      <w:pPr>
        <w:pStyle w:val="3"/>
      </w:pPr>
      <w:r>
        <w:t>4</w:t>
      </w:r>
      <w:r>
        <w:rPr>
          <w:rFonts w:hint="eastAsia"/>
        </w:rPr>
        <w:t>、医疗设施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分钟生活圈理念，保留现状会兴街道社区卫生服务中心，占地约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0.32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</w:t>
      </w:r>
    </w:p>
    <w:p>
      <w:pPr>
        <w:pStyle w:val="3"/>
        <w:rPr>
          <w:rFonts w:hint="eastAsia"/>
        </w:rPr>
      </w:pPr>
      <w:r>
        <w:t>5</w:t>
      </w:r>
      <w:r>
        <w:rPr>
          <w:rFonts w:hint="eastAsia"/>
        </w:rPr>
        <w:t>、社会福利设施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保留现状1处居住区级养老设施，占地约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0.69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</w:t>
      </w:r>
    </w:p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七、景观绿地规划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规划形成“一核两带”的绿色空间格局。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一核：规划区西侧，依托现状冲沟形成的，以农林用地为主的生态核心。</w:t>
      </w:r>
    </w:p>
    <w:p>
      <w:pPr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两带：分别为沿黄河和沿北环路-湖大铁路形成的两条绿化走廊。</w:t>
      </w:r>
    </w:p>
    <w:p>
      <w:pPr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规划区内绿地与广场用地面积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18.42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公顷，，占城市建设用地的22.32%。其中，公园绿地面积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16.41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公顷，广场用地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2.01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公顷。人均绿地与广场用地约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28.07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平方米。</w:t>
      </w:r>
    </w:p>
    <w:p>
      <w:pPr>
        <w:pStyle w:val="2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八、道路交通体系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b/>
          <w:bCs/>
          <w:sz w:val="28"/>
          <w:szCs w:val="28"/>
        </w:rPr>
        <w:t>道路系统规划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车行系统：</w:t>
      </w:r>
      <w:r>
        <w:rPr>
          <w:rFonts w:hint="eastAsia" w:ascii="宋体" w:hAnsi="宋体"/>
          <w:sz w:val="28"/>
          <w:szCs w:val="28"/>
        </w:rPr>
        <w:t>区域内道路系统分为主干路、次干路、支路三级。沿黄公路、北环路规划为城市主干路；经一路、会王路、规划二路为城市次干路；其余均为城市支路。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2、公共交通场站规划</w:t>
      </w:r>
      <w:r>
        <w:rPr>
          <w:rFonts w:hint="eastAsia" w:ascii="宋体" w:hAnsi="宋体"/>
          <w:b/>
          <w:sz w:val="28"/>
          <w:szCs w:val="28"/>
        </w:rPr>
        <w:t>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规划范围内规划1处公共交通场站用地。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3、</w:t>
      </w:r>
      <w:r>
        <w:rPr>
          <w:rFonts w:hint="eastAsia" w:ascii="宋体" w:hAnsi="宋体"/>
          <w:b/>
          <w:sz w:val="28"/>
          <w:szCs w:val="28"/>
        </w:rPr>
        <w:t>停车设施规划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共规划2处独立占地社会公共停车场。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F2"/>
    <w:rsid w:val="0003783E"/>
    <w:rsid w:val="000776F2"/>
    <w:rsid w:val="000862F2"/>
    <w:rsid w:val="00093851"/>
    <w:rsid w:val="000A5C9B"/>
    <w:rsid w:val="000B2389"/>
    <w:rsid w:val="000F6079"/>
    <w:rsid w:val="00111BA3"/>
    <w:rsid w:val="001409B4"/>
    <w:rsid w:val="00145ABB"/>
    <w:rsid w:val="00146DE2"/>
    <w:rsid w:val="0015078A"/>
    <w:rsid w:val="0015424A"/>
    <w:rsid w:val="00160278"/>
    <w:rsid w:val="00160AC0"/>
    <w:rsid w:val="00164B5D"/>
    <w:rsid w:val="00177C93"/>
    <w:rsid w:val="001A091F"/>
    <w:rsid w:val="001A1086"/>
    <w:rsid w:val="001A48DE"/>
    <w:rsid w:val="001C0DC3"/>
    <w:rsid w:val="001C4A84"/>
    <w:rsid w:val="001C7231"/>
    <w:rsid w:val="001E66C1"/>
    <w:rsid w:val="00206C6A"/>
    <w:rsid w:val="00207EFE"/>
    <w:rsid w:val="00216529"/>
    <w:rsid w:val="0022648E"/>
    <w:rsid w:val="00260378"/>
    <w:rsid w:val="00270B1D"/>
    <w:rsid w:val="00280462"/>
    <w:rsid w:val="00296E9A"/>
    <w:rsid w:val="002B092D"/>
    <w:rsid w:val="002B77E7"/>
    <w:rsid w:val="002C224C"/>
    <w:rsid w:val="002C617F"/>
    <w:rsid w:val="002D1259"/>
    <w:rsid w:val="002E1F14"/>
    <w:rsid w:val="002F3E91"/>
    <w:rsid w:val="002F6F9F"/>
    <w:rsid w:val="00311086"/>
    <w:rsid w:val="00314819"/>
    <w:rsid w:val="003263FE"/>
    <w:rsid w:val="003515E6"/>
    <w:rsid w:val="003577CA"/>
    <w:rsid w:val="00367F1B"/>
    <w:rsid w:val="00370C52"/>
    <w:rsid w:val="003814C2"/>
    <w:rsid w:val="003B080F"/>
    <w:rsid w:val="003B1DE5"/>
    <w:rsid w:val="003C3DDA"/>
    <w:rsid w:val="003C6076"/>
    <w:rsid w:val="003E12D0"/>
    <w:rsid w:val="003E219E"/>
    <w:rsid w:val="003E63BE"/>
    <w:rsid w:val="003F3838"/>
    <w:rsid w:val="0041036E"/>
    <w:rsid w:val="00415CE9"/>
    <w:rsid w:val="00423975"/>
    <w:rsid w:val="004451B6"/>
    <w:rsid w:val="004540A7"/>
    <w:rsid w:val="004710B7"/>
    <w:rsid w:val="00477E3E"/>
    <w:rsid w:val="00491175"/>
    <w:rsid w:val="004A76ED"/>
    <w:rsid w:val="004D2D05"/>
    <w:rsid w:val="004E2D02"/>
    <w:rsid w:val="004E55CD"/>
    <w:rsid w:val="004E6B43"/>
    <w:rsid w:val="004F0AE2"/>
    <w:rsid w:val="00511605"/>
    <w:rsid w:val="0051575E"/>
    <w:rsid w:val="00520045"/>
    <w:rsid w:val="00522448"/>
    <w:rsid w:val="00532DF0"/>
    <w:rsid w:val="00545018"/>
    <w:rsid w:val="00550A5E"/>
    <w:rsid w:val="00552C43"/>
    <w:rsid w:val="005733A3"/>
    <w:rsid w:val="00584919"/>
    <w:rsid w:val="005B5347"/>
    <w:rsid w:val="005B58C1"/>
    <w:rsid w:val="00610841"/>
    <w:rsid w:val="00610DBB"/>
    <w:rsid w:val="00616ADA"/>
    <w:rsid w:val="0064112C"/>
    <w:rsid w:val="00643743"/>
    <w:rsid w:val="0065144F"/>
    <w:rsid w:val="0066296E"/>
    <w:rsid w:val="006659E3"/>
    <w:rsid w:val="0067194E"/>
    <w:rsid w:val="006A5C56"/>
    <w:rsid w:val="006C0670"/>
    <w:rsid w:val="006E54C0"/>
    <w:rsid w:val="00713E7F"/>
    <w:rsid w:val="0072415B"/>
    <w:rsid w:val="00726059"/>
    <w:rsid w:val="00727406"/>
    <w:rsid w:val="007326AD"/>
    <w:rsid w:val="00734826"/>
    <w:rsid w:val="007742DE"/>
    <w:rsid w:val="0078214D"/>
    <w:rsid w:val="007832BF"/>
    <w:rsid w:val="00793723"/>
    <w:rsid w:val="007A35D2"/>
    <w:rsid w:val="007B00D0"/>
    <w:rsid w:val="007B1F2F"/>
    <w:rsid w:val="007C0C2C"/>
    <w:rsid w:val="007D6A7A"/>
    <w:rsid w:val="00816AF5"/>
    <w:rsid w:val="008242E5"/>
    <w:rsid w:val="0084207F"/>
    <w:rsid w:val="00842101"/>
    <w:rsid w:val="008531C4"/>
    <w:rsid w:val="00853BE9"/>
    <w:rsid w:val="00854384"/>
    <w:rsid w:val="00854631"/>
    <w:rsid w:val="00862C7F"/>
    <w:rsid w:val="008721E8"/>
    <w:rsid w:val="00873300"/>
    <w:rsid w:val="00883DD4"/>
    <w:rsid w:val="0088522F"/>
    <w:rsid w:val="008875D6"/>
    <w:rsid w:val="00893EEF"/>
    <w:rsid w:val="00894201"/>
    <w:rsid w:val="00897807"/>
    <w:rsid w:val="008A2685"/>
    <w:rsid w:val="008C0D16"/>
    <w:rsid w:val="008D6524"/>
    <w:rsid w:val="00904D87"/>
    <w:rsid w:val="009148AD"/>
    <w:rsid w:val="009216DB"/>
    <w:rsid w:val="0092414D"/>
    <w:rsid w:val="009257BB"/>
    <w:rsid w:val="009344D5"/>
    <w:rsid w:val="009572FC"/>
    <w:rsid w:val="009576CC"/>
    <w:rsid w:val="0096501C"/>
    <w:rsid w:val="009A3A65"/>
    <w:rsid w:val="009C09F3"/>
    <w:rsid w:val="009C1971"/>
    <w:rsid w:val="009E2BE7"/>
    <w:rsid w:val="009E354D"/>
    <w:rsid w:val="009F2736"/>
    <w:rsid w:val="00A00D31"/>
    <w:rsid w:val="00A014B9"/>
    <w:rsid w:val="00A12ABD"/>
    <w:rsid w:val="00A224AC"/>
    <w:rsid w:val="00A22B62"/>
    <w:rsid w:val="00A269DC"/>
    <w:rsid w:val="00A313AC"/>
    <w:rsid w:val="00A377ED"/>
    <w:rsid w:val="00A44319"/>
    <w:rsid w:val="00A52270"/>
    <w:rsid w:val="00A72E7A"/>
    <w:rsid w:val="00A80A76"/>
    <w:rsid w:val="00A84E22"/>
    <w:rsid w:val="00A92891"/>
    <w:rsid w:val="00A97523"/>
    <w:rsid w:val="00A97B93"/>
    <w:rsid w:val="00AA073C"/>
    <w:rsid w:val="00AA1C69"/>
    <w:rsid w:val="00B10B04"/>
    <w:rsid w:val="00B13B58"/>
    <w:rsid w:val="00B15191"/>
    <w:rsid w:val="00B22985"/>
    <w:rsid w:val="00B36988"/>
    <w:rsid w:val="00B36CF8"/>
    <w:rsid w:val="00B46FDD"/>
    <w:rsid w:val="00B54E30"/>
    <w:rsid w:val="00B708BE"/>
    <w:rsid w:val="00B709E1"/>
    <w:rsid w:val="00B749C9"/>
    <w:rsid w:val="00B751F1"/>
    <w:rsid w:val="00B76A9F"/>
    <w:rsid w:val="00B83A86"/>
    <w:rsid w:val="00B91B57"/>
    <w:rsid w:val="00BA010D"/>
    <w:rsid w:val="00BA186B"/>
    <w:rsid w:val="00BA6652"/>
    <w:rsid w:val="00BB44FC"/>
    <w:rsid w:val="00BB5E3B"/>
    <w:rsid w:val="00BB6E87"/>
    <w:rsid w:val="00BC49A3"/>
    <w:rsid w:val="00BC5F60"/>
    <w:rsid w:val="00BC77E0"/>
    <w:rsid w:val="00BD528C"/>
    <w:rsid w:val="00C0564A"/>
    <w:rsid w:val="00C1104F"/>
    <w:rsid w:val="00C16239"/>
    <w:rsid w:val="00C32ACE"/>
    <w:rsid w:val="00C467D4"/>
    <w:rsid w:val="00C50286"/>
    <w:rsid w:val="00C65350"/>
    <w:rsid w:val="00C86158"/>
    <w:rsid w:val="00C86517"/>
    <w:rsid w:val="00C90AA4"/>
    <w:rsid w:val="00C90E3E"/>
    <w:rsid w:val="00C91B0D"/>
    <w:rsid w:val="00C94F66"/>
    <w:rsid w:val="00C967ED"/>
    <w:rsid w:val="00CA024A"/>
    <w:rsid w:val="00CA035E"/>
    <w:rsid w:val="00CA27F2"/>
    <w:rsid w:val="00CA3C85"/>
    <w:rsid w:val="00CA70E4"/>
    <w:rsid w:val="00CA7185"/>
    <w:rsid w:val="00CB108C"/>
    <w:rsid w:val="00CB5C97"/>
    <w:rsid w:val="00CC11AB"/>
    <w:rsid w:val="00CC1506"/>
    <w:rsid w:val="00CC5738"/>
    <w:rsid w:val="00CC794D"/>
    <w:rsid w:val="00CE041C"/>
    <w:rsid w:val="00CE6622"/>
    <w:rsid w:val="00CE6E0E"/>
    <w:rsid w:val="00CF0558"/>
    <w:rsid w:val="00D018E2"/>
    <w:rsid w:val="00D045AE"/>
    <w:rsid w:val="00D14631"/>
    <w:rsid w:val="00D3115B"/>
    <w:rsid w:val="00D3125C"/>
    <w:rsid w:val="00D32955"/>
    <w:rsid w:val="00D4135C"/>
    <w:rsid w:val="00D631A6"/>
    <w:rsid w:val="00D73721"/>
    <w:rsid w:val="00D752D6"/>
    <w:rsid w:val="00D76A71"/>
    <w:rsid w:val="00D91189"/>
    <w:rsid w:val="00DA3251"/>
    <w:rsid w:val="00DA5785"/>
    <w:rsid w:val="00DA596D"/>
    <w:rsid w:val="00DA6EF4"/>
    <w:rsid w:val="00DB3527"/>
    <w:rsid w:val="00DD07FF"/>
    <w:rsid w:val="00DD5BD6"/>
    <w:rsid w:val="00DF0C79"/>
    <w:rsid w:val="00DF4112"/>
    <w:rsid w:val="00E0094D"/>
    <w:rsid w:val="00E04FCD"/>
    <w:rsid w:val="00E22CB2"/>
    <w:rsid w:val="00E23296"/>
    <w:rsid w:val="00E30C14"/>
    <w:rsid w:val="00E5047B"/>
    <w:rsid w:val="00E5435C"/>
    <w:rsid w:val="00E5688D"/>
    <w:rsid w:val="00E66366"/>
    <w:rsid w:val="00E857A0"/>
    <w:rsid w:val="00E92248"/>
    <w:rsid w:val="00E953E3"/>
    <w:rsid w:val="00E97D10"/>
    <w:rsid w:val="00EB7D10"/>
    <w:rsid w:val="00EC3700"/>
    <w:rsid w:val="00ED18FE"/>
    <w:rsid w:val="00ED50DA"/>
    <w:rsid w:val="00ED7FBE"/>
    <w:rsid w:val="00EE6487"/>
    <w:rsid w:val="00F101EB"/>
    <w:rsid w:val="00F11AE0"/>
    <w:rsid w:val="00F545A0"/>
    <w:rsid w:val="00F626B4"/>
    <w:rsid w:val="00F635C5"/>
    <w:rsid w:val="00F73F78"/>
    <w:rsid w:val="00F74793"/>
    <w:rsid w:val="00F828E1"/>
    <w:rsid w:val="00F9581C"/>
    <w:rsid w:val="00F965AD"/>
    <w:rsid w:val="00FB71CE"/>
    <w:rsid w:val="00FC66A0"/>
    <w:rsid w:val="00FC7286"/>
    <w:rsid w:val="00FF54D2"/>
    <w:rsid w:val="05230801"/>
    <w:rsid w:val="0C604822"/>
    <w:rsid w:val="25B249DA"/>
    <w:rsid w:val="266D2349"/>
    <w:rsid w:val="30305886"/>
    <w:rsid w:val="7D1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0"/>
    <w:pPr>
      <w:ind w:firstLine="562" w:firstLineChars="200"/>
      <w:outlineLvl w:val="2"/>
    </w:pPr>
    <w:rPr>
      <w:rFonts w:ascii="宋体" w:hAnsi="宋体"/>
      <w:b/>
      <w:bCs/>
      <w:sz w:val="28"/>
      <w:szCs w:val="28"/>
    </w:rPr>
  </w:style>
  <w:style w:type="paragraph" w:styleId="4">
    <w:name w:val="heading 4"/>
    <w:basedOn w:val="1"/>
    <w:next w:val="1"/>
    <w:link w:val="23"/>
    <w:unhideWhenUsed/>
    <w:qFormat/>
    <w:uiPriority w:val="0"/>
    <w:pPr>
      <w:ind w:firstLine="560" w:firstLineChars="200"/>
      <w:outlineLvl w:val="3"/>
    </w:pPr>
    <w:rPr>
      <w:rFonts w:ascii="宋体" w:hAnsi="宋体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qFormat/>
    <w:uiPriority w:val="0"/>
    <w:pPr>
      <w:jc w:val="left"/>
    </w:pPr>
  </w:style>
  <w:style w:type="paragraph" w:styleId="6">
    <w:name w:val="Balloon Text"/>
    <w:basedOn w:val="1"/>
    <w:link w:val="17"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6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7"/>
    <w:uiPriority w:val="0"/>
    <w:rPr>
      <w:kern w:val="2"/>
      <w:sz w:val="18"/>
      <w:szCs w:val="18"/>
    </w:rPr>
  </w:style>
  <w:style w:type="character" w:customStyle="1" w:styleId="15">
    <w:name w:val="批注文字 字符"/>
    <w:basedOn w:val="11"/>
    <w:link w:val="5"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9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标题 2 字符"/>
    <w:basedOn w:val="11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9">
    <w:name w:val="说明正文"/>
    <w:basedOn w:val="1"/>
    <w:link w:val="20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1"/>
    </w:rPr>
  </w:style>
  <w:style w:type="character" w:customStyle="1" w:styleId="20">
    <w:name w:val="说明正文 字符"/>
    <w:basedOn w:val="11"/>
    <w:link w:val="19"/>
    <w:qFormat/>
    <w:uiPriority w:val="0"/>
    <w:rPr>
      <w:rFonts w:ascii="Times New Roman" w:hAnsi="Times New Roman"/>
      <w:kern w:val="2"/>
      <w:sz w:val="24"/>
      <w:szCs w:val="21"/>
    </w:rPr>
  </w:style>
  <w:style w:type="paragraph" w:customStyle="1" w:styleId="21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22">
    <w:name w:val="标题 3 字符"/>
    <w:basedOn w:val="11"/>
    <w:link w:val="3"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3">
    <w:name w:val="标题 4 字符"/>
    <w:basedOn w:val="11"/>
    <w:link w:val="4"/>
    <w:qFormat/>
    <w:uiPriority w:val="0"/>
    <w:rPr>
      <w:rFonts w:ascii="宋体"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0578-178A-41CA-B11D-AC4D9C826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330</Words>
  <Characters>1885</Characters>
  <Lines>15</Lines>
  <Paragraphs>4</Paragraphs>
  <TotalTime>0</TotalTime>
  <ScaleCrop>false</ScaleCrop>
  <LinksUpToDate>false</LinksUpToDate>
  <CharactersWithSpaces>2211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2022-11-09T07:25:00Z</dcterms:created>
  <dc:creator>Administrator</dc:creator>
  <cp:lastModifiedBy>Administrator</cp:lastModifiedBy>
  <dcterms:modified xsi:type="dcterms:W3CDTF">2022-11-15T01:23:28Z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904AD909C7D2453EB53AF855AF5B8083</vt:lpwstr>
  </property>
</Properties>
</file>