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A4" w:rsidRDefault="00184BAB">
      <w:pPr>
        <w:numPr>
          <w:ilvl w:val="0"/>
          <w:numId w:val="1"/>
        </w:numPr>
        <w:rPr>
          <w:b/>
          <w:bCs/>
          <w:sz w:val="32"/>
          <w:szCs w:val="32"/>
        </w:rPr>
      </w:pPr>
      <w:r>
        <w:rPr>
          <w:rFonts w:hint="eastAsia"/>
          <w:b/>
          <w:bCs/>
          <w:sz w:val="32"/>
          <w:szCs w:val="32"/>
        </w:rPr>
        <w:t>规划范围和规模</w:t>
      </w:r>
    </w:p>
    <w:p w:rsidR="008B0EA4" w:rsidRDefault="00184BAB">
      <w:pPr>
        <w:ind w:firstLine="560"/>
        <w:rPr>
          <w:sz w:val="28"/>
          <w:szCs w:val="28"/>
        </w:rPr>
      </w:pPr>
      <w:r>
        <w:rPr>
          <w:rFonts w:hint="eastAsia"/>
          <w:sz w:val="28"/>
          <w:szCs w:val="28"/>
        </w:rPr>
        <w:t>本次南山片区的规划范围为东至连霍高速三门峡东出入口，西至上阳路，北至仰韶大道，南至连霍高速绿化防护带，规划面积为</w:t>
      </w:r>
      <w:r>
        <w:rPr>
          <w:rFonts w:hint="eastAsia"/>
          <w:sz w:val="28"/>
          <w:szCs w:val="28"/>
        </w:rPr>
        <w:t>340.79</w:t>
      </w:r>
      <w:r>
        <w:rPr>
          <w:rFonts w:hint="eastAsia"/>
          <w:sz w:val="28"/>
          <w:szCs w:val="28"/>
        </w:rPr>
        <w:t>公顷，其中建设用地面积为</w:t>
      </w:r>
      <w:r>
        <w:rPr>
          <w:rFonts w:hint="eastAsia"/>
          <w:sz w:val="28"/>
          <w:szCs w:val="28"/>
        </w:rPr>
        <w:t>251.98</w:t>
      </w:r>
      <w:r>
        <w:rPr>
          <w:rFonts w:hint="eastAsia"/>
          <w:sz w:val="28"/>
          <w:szCs w:val="28"/>
        </w:rPr>
        <w:t>公顷。</w:t>
      </w:r>
    </w:p>
    <w:p w:rsidR="008B0EA4" w:rsidRDefault="00184BAB">
      <w:pPr>
        <w:ind w:firstLine="560"/>
        <w:rPr>
          <w:sz w:val="28"/>
          <w:szCs w:val="28"/>
        </w:rPr>
      </w:pPr>
      <w:r>
        <w:rPr>
          <w:rFonts w:hint="eastAsia"/>
          <w:sz w:val="28"/>
          <w:szCs w:val="28"/>
        </w:rPr>
        <w:t>规划范围内的人口容量为</w:t>
      </w:r>
      <w:r>
        <w:rPr>
          <w:rFonts w:hint="eastAsia"/>
          <w:sz w:val="28"/>
          <w:szCs w:val="28"/>
        </w:rPr>
        <w:t>2.7</w:t>
      </w:r>
      <w:r>
        <w:rPr>
          <w:rFonts w:hint="eastAsia"/>
          <w:sz w:val="28"/>
          <w:szCs w:val="28"/>
        </w:rPr>
        <w:t>万人。</w:t>
      </w:r>
    </w:p>
    <w:p w:rsidR="008B0EA4" w:rsidRDefault="00184BAB">
      <w:pPr>
        <w:numPr>
          <w:ilvl w:val="0"/>
          <w:numId w:val="1"/>
        </w:numPr>
        <w:rPr>
          <w:b/>
          <w:bCs/>
          <w:sz w:val="32"/>
          <w:szCs w:val="32"/>
        </w:rPr>
      </w:pPr>
      <w:r>
        <w:rPr>
          <w:rFonts w:hint="eastAsia"/>
          <w:b/>
          <w:bCs/>
          <w:sz w:val="32"/>
          <w:szCs w:val="32"/>
        </w:rPr>
        <w:t>规划目标与定位</w:t>
      </w:r>
    </w:p>
    <w:p w:rsidR="008B0EA4" w:rsidRDefault="00184BAB">
      <w:pPr>
        <w:numPr>
          <w:ilvl w:val="0"/>
          <w:numId w:val="2"/>
        </w:numPr>
        <w:ind w:firstLineChars="200" w:firstLine="640"/>
        <w:rPr>
          <w:sz w:val="32"/>
          <w:szCs w:val="32"/>
        </w:rPr>
      </w:pPr>
      <w:r>
        <w:rPr>
          <w:rFonts w:hint="eastAsia"/>
          <w:sz w:val="32"/>
          <w:szCs w:val="32"/>
        </w:rPr>
        <w:t>总体定位</w:t>
      </w:r>
    </w:p>
    <w:p w:rsidR="008B0EA4" w:rsidRDefault="00184BAB">
      <w:pPr>
        <w:ind w:firstLine="560"/>
        <w:rPr>
          <w:sz w:val="28"/>
          <w:szCs w:val="28"/>
        </w:rPr>
      </w:pPr>
      <w:r>
        <w:rPr>
          <w:rFonts w:hint="eastAsia"/>
          <w:sz w:val="28"/>
          <w:szCs w:val="28"/>
        </w:rPr>
        <w:t>按照城市总体规划要求，结合南山片区的实际情况，发挥门户优势、生态优势，强化与银昌片区、商务中心区、高铁南片区、开发区东区等核心区联动，尤其是与银昌片区共同打造成为中心城区向东拓展的发展引擎，构建“</w:t>
      </w:r>
      <w:r>
        <w:rPr>
          <w:rFonts w:hint="eastAsia"/>
          <w:b/>
          <w:bCs/>
          <w:sz w:val="28"/>
          <w:szCs w:val="28"/>
        </w:rPr>
        <w:t>城东门户，运绿南山，品质社区”</w:t>
      </w:r>
      <w:r>
        <w:rPr>
          <w:rFonts w:hint="eastAsia"/>
          <w:sz w:val="28"/>
          <w:szCs w:val="28"/>
        </w:rPr>
        <w:t>的总体格局。</w:t>
      </w:r>
    </w:p>
    <w:p w:rsidR="008B0EA4" w:rsidRDefault="00184BAB">
      <w:pPr>
        <w:numPr>
          <w:ilvl w:val="0"/>
          <w:numId w:val="2"/>
        </w:numPr>
        <w:ind w:firstLineChars="200" w:firstLine="560"/>
        <w:rPr>
          <w:sz w:val="28"/>
          <w:szCs w:val="28"/>
        </w:rPr>
      </w:pPr>
      <w:r>
        <w:rPr>
          <w:rFonts w:hint="eastAsia"/>
          <w:sz w:val="28"/>
          <w:szCs w:val="28"/>
        </w:rPr>
        <w:t>建设目标</w:t>
      </w:r>
    </w:p>
    <w:p w:rsidR="008B0EA4" w:rsidRDefault="00184BAB">
      <w:pPr>
        <w:ind w:firstLineChars="200" w:firstLine="560"/>
        <w:rPr>
          <w:sz w:val="28"/>
          <w:szCs w:val="28"/>
        </w:rPr>
      </w:pPr>
      <w:r>
        <w:rPr>
          <w:rFonts w:hint="eastAsia"/>
          <w:sz w:val="28"/>
          <w:szCs w:val="28"/>
        </w:rPr>
        <w:t>将南山片区建设成为</w:t>
      </w:r>
      <w:r>
        <w:rPr>
          <w:rFonts w:hint="eastAsia"/>
          <w:b/>
          <w:bCs/>
          <w:sz w:val="28"/>
          <w:szCs w:val="28"/>
        </w:rPr>
        <w:t>三门峡市的生态宜居新标杆</w:t>
      </w:r>
      <w:r>
        <w:rPr>
          <w:rFonts w:hint="eastAsia"/>
          <w:sz w:val="28"/>
          <w:szCs w:val="28"/>
        </w:rPr>
        <w:t>，集城市门户、文旅商业、康养医疗、配套服务功能复合的高品质生活组团。</w:t>
      </w:r>
    </w:p>
    <w:p w:rsidR="008B0EA4" w:rsidRDefault="00184BAB">
      <w:pPr>
        <w:numPr>
          <w:ilvl w:val="0"/>
          <w:numId w:val="1"/>
        </w:numPr>
        <w:rPr>
          <w:b/>
          <w:bCs/>
          <w:sz w:val="32"/>
          <w:szCs w:val="32"/>
        </w:rPr>
      </w:pPr>
      <w:r>
        <w:rPr>
          <w:rFonts w:hint="eastAsia"/>
          <w:b/>
          <w:bCs/>
          <w:sz w:val="32"/>
          <w:szCs w:val="32"/>
        </w:rPr>
        <w:t>空间格局</w:t>
      </w:r>
    </w:p>
    <w:p w:rsidR="008B0EA4" w:rsidRDefault="00184BAB">
      <w:pPr>
        <w:ind w:firstLineChars="200" w:firstLine="560"/>
        <w:rPr>
          <w:sz w:val="28"/>
          <w:szCs w:val="28"/>
        </w:rPr>
      </w:pPr>
      <w:r>
        <w:rPr>
          <w:rFonts w:hint="eastAsia"/>
          <w:sz w:val="28"/>
          <w:szCs w:val="28"/>
        </w:rPr>
        <w:t>根据《三门峡市陕州大道沿线城市设计》的功能定位，并结合区域内的资源禀赋，规划南山片区最终形成“</w:t>
      </w:r>
      <w:r>
        <w:rPr>
          <w:rFonts w:hint="eastAsia"/>
          <w:b/>
          <w:bCs/>
          <w:sz w:val="28"/>
          <w:szCs w:val="28"/>
        </w:rPr>
        <w:t>一轴两带，一心三节点，三片区</w:t>
      </w:r>
      <w:r>
        <w:rPr>
          <w:rFonts w:hint="eastAsia"/>
          <w:sz w:val="28"/>
          <w:szCs w:val="28"/>
        </w:rPr>
        <w:t>”的空间格局。</w:t>
      </w:r>
    </w:p>
    <w:p w:rsidR="008B0EA4" w:rsidRDefault="00184BAB">
      <w:pPr>
        <w:ind w:firstLineChars="200" w:firstLine="560"/>
        <w:rPr>
          <w:sz w:val="28"/>
          <w:szCs w:val="28"/>
        </w:rPr>
      </w:pPr>
      <w:r>
        <w:rPr>
          <w:rFonts w:hint="eastAsia"/>
          <w:sz w:val="28"/>
          <w:szCs w:val="28"/>
        </w:rPr>
        <w:t>一轴：中央生态绿轴，对接区域生态网络，形成片区内绿色网络构架。</w:t>
      </w:r>
    </w:p>
    <w:p w:rsidR="008B0EA4" w:rsidRDefault="00184BAB">
      <w:pPr>
        <w:ind w:firstLineChars="200" w:firstLine="560"/>
        <w:rPr>
          <w:sz w:val="28"/>
          <w:szCs w:val="28"/>
        </w:rPr>
      </w:pPr>
      <w:r>
        <w:rPr>
          <w:rFonts w:hint="eastAsia"/>
          <w:sz w:val="28"/>
          <w:szCs w:val="28"/>
        </w:rPr>
        <w:t>两带：青龙涧河公园滨水休闲带、南山公园山林休闲带，以开发健身、文化休闲等功能为主；</w:t>
      </w:r>
    </w:p>
    <w:p w:rsidR="008B0EA4" w:rsidRDefault="00184BAB">
      <w:pPr>
        <w:ind w:firstLineChars="200" w:firstLine="560"/>
        <w:rPr>
          <w:rFonts w:ascii="宋体" w:eastAsia="宋体" w:hAnsi="宋体" w:cs="宋体"/>
          <w:sz w:val="28"/>
          <w:szCs w:val="28"/>
        </w:rPr>
      </w:pPr>
      <w:r>
        <w:rPr>
          <w:rFonts w:ascii="宋体" w:eastAsia="宋体" w:hAnsi="宋体" w:cs="宋体" w:hint="eastAsia"/>
          <w:sz w:val="28"/>
          <w:szCs w:val="28"/>
        </w:rPr>
        <w:lastRenderedPageBreak/>
        <w:t>一心：综合服务中心（商业综合体、商贸、商务） ；</w:t>
      </w:r>
    </w:p>
    <w:p w:rsidR="008B0EA4" w:rsidRDefault="00184BAB">
      <w:pPr>
        <w:ind w:firstLineChars="200" w:firstLine="560"/>
        <w:rPr>
          <w:rFonts w:ascii="宋体" w:eastAsia="宋体" w:hAnsi="宋体" w:cs="宋体"/>
          <w:sz w:val="28"/>
          <w:szCs w:val="28"/>
        </w:rPr>
      </w:pPr>
      <w:r>
        <w:rPr>
          <w:rFonts w:ascii="宋体" w:eastAsia="宋体" w:hAnsi="宋体" w:cs="宋体" w:hint="eastAsia"/>
          <w:sz w:val="28"/>
          <w:szCs w:val="28"/>
        </w:rPr>
        <w:t>三节点：特色商业节点（特色商业街区、高端酒店）、滨河商业活力节点（商业综合体）、南山乐活颐养节点（新型医养中心、养老院）</w:t>
      </w:r>
    </w:p>
    <w:p w:rsidR="008B0EA4" w:rsidRDefault="00184BAB">
      <w:pPr>
        <w:ind w:firstLineChars="200" w:firstLine="560"/>
        <w:rPr>
          <w:rFonts w:ascii="宋体" w:eastAsia="宋体" w:hAnsi="宋体" w:cs="宋体"/>
          <w:sz w:val="28"/>
          <w:szCs w:val="28"/>
        </w:rPr>
      </w:pPr>
      <w:r>
        <w:rPr>
          <w:rFonts w:ascii="宋体" w:eastAsia="宋体" w:hAnsi="宋体" w:cs="宋体" w:hint="eastAsia"/>
          <w:sz w:val="28"/>
          <w:szCs w:val="28"/>
        </w:rPr>
        <w:t>三片区：形成3个步行5-10分钟半径范围绿色共享的活力宜居区。</w:t>
      </w:r>
    </w:p>
    <w:p w:rsidR="008B0EA4" w:rsidRDefault="00184BAB">
      <w:pPr>
        <w:numPr>
          <w:ilvl w:val="0"/>
          <w:numId w:val="1"/>
        </w:numPr>
        <w:rPr>
          <w:b/>
          <w:bCs/>
          <w:sz w:val="32"/>
          <w:szCs w:val="32"/>
        </w:rPr>
      </w:pPr>
      <w:r>
        <w:rPr>
          <w:rFonts w:hint="eastAsia"/>
          <w:b/>
          <w:bCs/>
          <w:sz w:val="32"/>
          <w:szCs w:val="32"/>
        </w:rPr>
        <w:t>用地布局</w:t>
      </w:r>
    </w:p>
    <w:p w:rsidR="008B0EA4" w:rsidRDefault="00184BAB">
      <w:pPr>
        <w:ind w:firstLineChars="200" w:firstLine="560"/>
        <w:rPr>
          <w:sz w:val="28"/>
          <w:szCs w:val="28"/>
        </w:rPr>
      </w:pPr>
      <w:r>
        <w:rPr>
          <w:rFonts w:hint="eastAsia"/>
          <w:sz w:val="28"/>
          <w:szCs w:val="28"/>
        </w:rPr>
        <w:t>本次规划片区的总用地面积为</w:t>
      </w:r>
      <w:r>
        <w:rPr>
          <w:rFonts w:hint="eastAsia"/>
          <w:sz w:val="28"/>
          <w:szCs w:val="28"/>
        </w:rPr>
        <w:t>340.79</w:t>
      </w:r>
      <w:r>
        <w:rPr>
          <w:rFonts w:hint="eastAsia"/>
          <w:sz w:val="28"/>
          <w:szCs w:val="28"/>
        </w:rPr>
        <w:t>公顷，其中建设用地面积为</w:t>
      </w:r>
      <w:r>
        <w:rPr>
          <w:rFonts w:hint="eastAsia"/>
          <w:sz w:val="28"/>
          <w:szCs w:val="28"/>
        </w:rPr>
        <w:t>251.98</w:t>
      </w:r>
      <w:r>
        <w:rPr>
          <w:rFonts w:hint="eastAsia"/>
          <w:sz w:val="28"/>
          <w:szCs w:val="28"/>
        </w:rPr>
        <w:t>公顷，主要包括居住用地（</w:t>
      </w:r>
      <w:r>
        <w:rPr>
          <w:rFonts w:hint="eastAsia"/>
          <w:sz w:val="28"/>
          <w:szCs w:val="28"/>
        </w:rPr>
        <w:t>R</w:t>
      </w:r>
      <w:r>
        <w:rPr>
          <w:rFonts w:hint="eastAsia"/>
          <w:sz w:val="28"/>
          <w:szCs w:val="28"/>
        </w:rPr>
        <w:t>）、公共管理与公共服务设施用地（</w:t>
      </w:r>
      <w:r>
        <w:rPr>
          <w:rFonts w:hint="eastAsia"/>
          <w:sz w:val="28"/>
          <w:szCs w:val="28"/>
        </w:rPr>
        <w:t>A</w:t>
      </w:r>
      <w:r>
        <w:rPr>
          <w:rFonts w:hint="eastAsia"/>
          <w:sz w:val="28"/>
          <w:szCs w:val="28"/>
        </w:rPr>
        <w:t>）、商业服务业设施用地（</w:t>
      </w:r>
      <w:r>
        <w:rPr>
          <w:rFonts w:hint="eastAsia"/>
          <w:sz w:val="28"/>
          <w:szCs w:val="28"/>
        </w:rPr>
        <w:t>B</w:t>
      </w:r>
      <w:r>
        <w:rPr>
          <w:rFonts w:hint="eastAsia"/>
          <w:sz w:val="28"/>
          <w:szCs w:val="28"/>
        </w:rPr>
        <w:t>）、道路与交通设施用地（</w:t>
      </w:r>
      <w:r>
        <w:rPr>
          <w:rFonts w:hint="eastAsia"/>
          <w:sz w:val="28"/>
          <w:szCs w:val="28"/>
        </w:rPr>
        <w:t>S</w:t>
      </w:r>
      <w:r>
        <w:rPr>
          <w:rFonts w:hint="eastAsia"/>
          <w:sz w:val="28"/>
          <w:szCs w:val="28"/>
        </w:rPr>
        <w:t>）、公共设施用地（</w:t>
      </w:r>
      <w:r>
        <w:rPr>
          <w:rFonts w:hint="eastAsia"/>
          <w:sz w:val="28"/>
          <w:szCs w:val="28"/>
        </w:rPr>
        <w:t>U</w:t>
      </w:r>
      <w:r>
        <w:rPr>
          <w:rFonts w:hint="eastAsia"/>
          <w:sz w:val="28"/>
          <w:szCs w:val="28"/>
        </w:rPr>
        <w:t>）、绿地与广场用地（</w:t>
      </w:r>
      <w:r>
        <w:rPr>
          <w:rFonts w:hint="eastAsia"/>
          <w:sz w:val="28"/>
          <w:szCs w:val="28"/>
        </w:rPr>
        <w:t>G</w:t>
      </w:r>
      <w:r>
        <w:rPr>
          <w:rFonts w:hint="eastAsia"/>
          <w:sz w:val="28"/>
          <w:szCs w:val="28"/>
        </w:rPr>
        <w:t>）等六大类。详见表</w:t>
      </w:r>
      <w:r>
        <w:rPr>
          <w:rFonts w:hint="eastAsia"/>
          <w:sz w:val="28"/>
          <w:szCs w:val="28"/>
        </w:rPr>
        <w:t>4-1</w:t>
      </w:r>
      <w:r>
        <w:rPr>
          <w:rFonts w:hint="eastAsia"/>
          <w:sz w:val="28"/>
          <w:szCs w:val="28"/>
        </w:rPr>
        <w:t>南山片区规划用地汇总表。</w:t>
      </w:r>
    </w:p>
    <w:p w:rsidR="008B0EA4" w:rsidRDefault="00184BAB">
      <w:pPr>
        <w:ind w:firstLine="560"/>
        <w:jc w:val="center"/>
        <w:rPr>
          <w:sz w:val="30"/>
          <w:szCs w:val="30"/>
        </w:rPr>
      </w:pPr>
      <w:r>
        <w:rPr>
          <w:rFonts w:hint="eastAsia"/>
          <w:sz w:val="30"/>
          <w:szCs w:val="30"/>
        </w:rPr>
        <w:t>表</w:t>
      </w:r>
      <w:r>
        <w:rPr>
          <w:rFonts w:hint="eastAsia"/>
          <w:sz w:val="30"/>
          <w:szCs w:val="30"/>
        </w:rPr>
        <w:t>4-1</w:t>
      </w:r>
      <w:r>
        <w:rPr>
          <w:rFonts w:hint="eastAsia"/>
          <w:sz w:val="30"/>
          <w:szCs w:val="30"/>
        </w:rPr>
        <w:t>南山片区规划用地汇总表</w:t>
      </w:r>
    </w:p>
    <w:tbl>
      <w:tblPr>
        <w:tblW w:w="10035" w:type="dxa"/>
        <w:jc w:val="center"/>
        <w:tblLayout w:type="fixed"/>
        <w:tblLook w:val="04A0"/>
      </w:tblPr>
      <w:tblGrid>
        <w:gridCol w:w="1404"/>
        <w:gridCol w:w="1186"/>
        <w:gridCol w:w="1186"/>
        <w:gridCol w:w="3657"/>
        <w:gridCol w:w="1136"/>
        <w:gridCol w:w="1466"/>
      </w:tblGrid>
      <w:tr w:rsidR="008B0EA4">
        <w:trPr>
          <w:trHeight w:val="380"/>
          <w:jc w:val="center"/>
        </w:trPr>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类别代码</w:t>
            </w:r>
          </w:p>
        </w:tc>
        <w:tc>
          <w:tcPr>
            <w:tcW w:w="36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类别名称</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用地面积（ha）</w:t>
            </w:r>
          </w:p>
        </w:tc>
        <w:tc>
          <w:tcPr>
            <w:tcW w:w="1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占城乡用地比例（％）</w:t>
            </w:r>
          </w:p>
        </w:tc>
      </w:tr>
      <w:tr w:rsidR="008B0EA4">
        <w:trPr>
          <w:trHeight w:val="420"/>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大类</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中类</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小类</w:t>
            </w:r>
          </w:p>
        </w:tc>
        <w:tc>
          <w:tcPr>
            <w:tcW w:w="36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b/>
                <w:bCs/>
                <w:color w:val="000000"/>
                <w:sz w:val="24"/>
              </w:rPr>
            </w:pPr>
          </w:p>
        </w:tc>
        <w:tc>
          <w:tcPr>
            <w:tcW w:w="11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b/>
                <w:bCs/>
                <w:color w:val="000000"/>
                <w:sz w:val="24"/>
              </w:rPr>
            </w:pPr>
          </w:p>
        </w:tc>
        <w:tc>
          <w:tcPr>
            <w:tcW w:w="1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b/>
                <w:bCs/>
                <w:color w:val="000000"/>
                <w:sz w:val="24"/>
              </w:rPr>
            </w:pPr>
          </w:p>
        </w:tc>
      </w:tr>
      <w:tr w:rsidR="008B0EA4">
        <w:trPr>
          <w:trHeight w:val="270"/>
          <w:jc w:val="center"/>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R</w:t>
            </w:r>
          </w:p>
        </w:tc>
        <w:tc>
          <w:tcPr>
            <w:tcW w:w="6029" w:type="dxa"/>
            <w:gridSpan w:val="3"/>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居住用地</w:t>
            </w:r>
          </w:p>
        </w:tc>
        <w:tc>
          <w:tcPr>
            <w:tcW w:w="113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60.66</w:t>
            </w:r>
          </w:p>
        </w:tc>
        <w:tc>
          <w:tcPr>
            <w:tcW w:w="146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17.80</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R2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R21</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二类居住用地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58.62</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17.20</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R22</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幼儿园</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2.04</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0.60</w:t>
            </w:r>
          </w:p>
        </w:tc>
      </w:tr>
      <w:tr w:rsidR="008B0EA4">
        <w:trPr>
          <w:trHeight w:val="270"/>
          <w:jc w:val="center"/>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A</w:t>
            </w:r>
          </w:p>
        </w:tc>
        <w:tc>
          <w:tcPr>
            <w:tcW w:w="6029" w:type="dxa"/>
            <w:gridSpan w:val="3"/>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公共管理与公共服务设施用地</w:t>
            </w:r>
          </w:p>
        </w:tc>
        <w:tc>
          <w:tcPr>
            <w:tcW w:w="113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34.38</w:t>
            </w:r>
          </w:p>
        </w:tc>
        <w:tc>
          <w:tcPr>
            <w:tcW w:w="146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10.09</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A1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行政办公用地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1.75</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0.51</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A2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文化设施用地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0.61</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0.18</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A3</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教育用地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19.05</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5.59</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A4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体育用地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0.70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0.21</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A5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A51</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医院用地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5.11</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1.50</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A53</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特殊医疗用地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1.76</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0.52</w:t>
            </w:r>
          </w:p>
        </w:tc>
      </w:tr>
      <w:tr w:rsidR="008B0EA4">
        <w:trPr>
          <w:trHeight w:val="9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A6</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社会福利用地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5.40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1.58</w:t>
            </w:r>
          </w:p>
        </w:tc>
      </w:tr>
      <w:tr w:rsidR="008B0EA4">
        <w:trPr>
          <w:trHeight w:val="270"/>
          <w:jc w:val="center"/>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B</w:t>
            </w:r>
          </w:p>
        </w:tc>
        <w:tc>
          <w:tcPr>
            <w:tcW w:w="6029" w:type="dxa"/>
            <w:gridSpan w:val="3"/>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商业服务业设施用地</w:t>
            </w:r>
          </w:p>
        </w:tc>
        <w:tc>
          <w:tcPr>
            <w:tcW w:w="113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29.31</w:t>
            </w:r>
          </w:p>
        </w:tc>
        <w:tc>
          <w:tcPr>
            <w:tcW w:w="146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8.60</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B1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商业用地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26.13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7.67</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B2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商务设施用地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1.33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0.39</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B4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公用设施营业网点用地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1.61</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0.47</w:t>
            </w:r>
          </w:p>
        </w:tc>
      </w:tr>
      <w:tr w:rsidR="008B0EA4">
        <w:trPr>
          <w:trHeight w:val="511"/>
          <w:jc w:val="center"/>
        </w:trPr>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B9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ind w:firstLineChars="300" w:firstLine="720"/>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其它服务设施用地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0.24</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0.07</w:t>
            </w:r>
          </w:p>
        </w:tc>
      </w:tr>
      <w:tr w:rsidR="008B0EA4">
        <w:trPr>
          <w:trHeight w:val="375"/>
          <w:jc w:val="center"/>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S</w:t>
            </w:r>
          </w:p>
        </w:tc>
        <w:tc>
          <w:tcPr>
            <w:tcW w:w="6029" w:type="dxa"/>
            <w:gridSpan w:val="3"/>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道路与交通设施用地</w:t>
            </w:r>
          </w:p>
        </w:tc>
        <w:tc>
          <w:tcPr>
            <w:tcW w:w="113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73.02</w:t>
            </w:r>
          </w:p>
        </w:tc>
        <w:tc>
          <w:tcPr>
            <w:tcW w:w="146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21.42</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S1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城市道路用地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71.30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20.92</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S4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S41</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公共交通场站用地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0.32</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0.09</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S42</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社会停车场用地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1.40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0.41</w:t>
            </w:r>
          </w:p>
        </w:tc>
      </w:tr>
      <w:tr w:rsidR="008B0EA4">
        <w:trPr>
          <w:trHeight w:val="270"/>
          <w:jc w:val="center"/>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U</w:t>
            </w:r>
          </w:p>
        </w:tc>
        <w:tc>
          <w:tcPr>
            <w:tcW w:w="6029" w:type="dxa"/>
            <w:gridSpan w:val="3"/>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公用设施用地</w:t>
            </w:r>
          </w:p>
        </w:tc>
        <w:tc>
          <w:tcPr>
            <w:tcW w:w="113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1.73</w:t>
            </w:r>
          </w:p>
        </w:tc>
        <w:tc>
          <w:tcPr>
            <w:tcW w:w="146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0.51</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b/>
                <w:bCs/>
                <w:color w:val="000000"/>
                <w:sz w:val="24"/>
              </w:rPr>
            </w:pP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U1</w:t>
            </w:r>
          </w:p>
        </w:tc>
        <w:tc>
          <w:tcPr>
            <w:tcW w:w="4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供应设施用地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0.76</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0.22</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b/>
                <w:bCs/>
                <w:color w:val="000000"/>
                <w:sz w:val="24"/>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U12</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供电用地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0.29</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0.09</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b/>
                <w:bCs/>
                <w:color w:val="000000"/>
                <w:sz w:val="24"/>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U15</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通信用地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0.47</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0.14</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b/>
                <w:bCs/>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U2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U22</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环卫用地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0.29</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0.09</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b/>
                <w:bCs/>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U3</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U31</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消防用地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0.68</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0.20</w:t>
            </w:r>
          </w:p>
        </w:tc>
      </w:tr>
      <w:tr w:rsidR="008B0EA4">
        <w:trPr>
          <w:trHeight w:val="270"/>
          <w:jc w:val="center"/>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G</w:t>
            </w:r>
          </w:p>
        </w:tc>
        <w:tc>
          <w:tcPr>
            <w:tcW w:w="6029" w:type="dxa"/>
            <w:gridSpan w:val="3"/>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绿地与广场用地</w:t>
            </w:r>
          </w:p>
        </w:tc>
        <w:tc>
          <w:tcPr>
            <w:tcW w:w="113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52.88</w:t>
            </w:r>
          </w:p>
        </w:tc>
        <w:tc>
          <w:tcPr>
            <w:tcW w:w="146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sz w:val="24"/>
              </w:rPr>
              <w:t>15.52</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G1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公园绿地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21.27</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6.24</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G2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防护绿地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27.92</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8.20</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G3</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广场用地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3.69</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1.08</w:t>
            </w:r>
          </w:p>
        </w:tc>
      </w:tr>
      <w:tr w:rsidR="008B0EA4">
        <w:trPr>
          <w:trHeight w:val="270"/>
          <w:jc w:val="center"/>
        </w:trPr>
        <w:tc>
          <w:tcPr>
            <w:tcW w:w="7433" w:type="dxa"/>
            <w:gridSpan w:val="4"/>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 xml:space="preserve">             建设用地合计</w:t>
            </w:r>
          </w:p>
        </w:tc>
        <w:tc>
          <w:tcPr>
            <w:tcW w:w="113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251.98</w:t>
            </w:r>
          </w:p>
        </w:tc>
        <w:tc>
          <w:tcPr>
            <w:tcW w:w="146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73.94</w:t>
            </w:r>
          </w:p>
        </w:tc>
      </w:tr>
      <w:tr w:rsidR="008B0EA4">
        <w:trPr>
          <w:trHeight w:val="270"/>
          <w:jc w:val="center"/>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b/>
                <w:bCs/>
                <w:color w:val="000000"/>
                <w:kern w:val="0"/>
                <w:sz w:val="24"/>
                <w:lang/>
              </w:rPr>
              <w:t>E</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E1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水域</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4.11</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1.21</w:t>
            </w:r>
          </w:p>
        </w:tc>
      </w:tr>
      <w:tr w:rsidR="008B0EA4">
        <w:trPr>
          <w:trHeight w:val="270"/>
          <w:jc w:val="center"/>
        </w:trPr>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E2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eastAsia="宋体" w:hAnsi="宋体" w:cs="宋体"/>
                <w:color w:val="000000"/>
                <w:sz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生态农林用地</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84.70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24.85</w:t>
            </w:r>
          </w:p>
        </w:tc>
      </w:tr>
      <w:tr w:rsidR="008B0EA4">
        <w:trPr>
          <w:trHeight w:val="270"/>
          <w:jc w:val="center"/>
        </w:trPr>
        <w:tc>
          <w:tcPr>
            <w:tcW w:w="74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非建设用地合计</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88.81</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26.06</w:t>
            </w:r>
          </w:p>
        </w:tc>
      </w:tr>
      <w:tr w:rsidR="008B0EA4">
        <w:trPr>
          <w:trHeight w:val="270"/>
          <w:jc w:val="center"/>
        </w:trPr>
        <w:tc>
          <w:tcPr>
            <w:tcW w:w="74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合计</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340.79</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rPr>
              <w:t>100.00</w:t>
            </w:r>
          </w:p>
        </w:tc>
      </w:tr>
    </w:tbl>
    <w:p w:rsidR="008B0EA4" w:rsidRDefault="00184BAB" w:rsidP="00D479C0">
      <w:pPr>
        <w:numPr>
          <w:ilvl w:val="0"/>
          <w:numId w:val="1"/>
        </w:numPr>
        <w:spacing w:beforeLines="100"/>
        <w:rPr>
          <w:b/>
          <w:bCs/>
          <w:sz w:val="32"/>
          <w:szCs w:val="32"/>
        </w:rPr>
      </w:pPr>
      <w:r>
        <w:rPr>
          <w:rFonts w:hint="eastAsia"/>
          <w:b/>
          <w:bCs/>
          <w:sz w:val="32"/>
          <w:szCs w:val="32"/>
        </w:rPr>
        <w:t>规划指标体系</w:t>
      </w:r>
    </w:p>
    <w:p w:rsidR="008B0EA4" w:rsidRDefault="00184BAB">
      <w:pPr>
        <w:ind w:firstLineChars="200" w:firstLine="562"/>
        <w:rPr>
          <w:rFonts w:ascii="宋体" w:hAnsi="宋体"/>
          <w:sz w:val="28"/>
          <w:szCs w:val="28"/>
        </w:rPr>
      </w:pPr>
      <w:r>
        <w:rPr>
          <w:rFonts w:ascii="宋体" w:hAnsi="宋体"/>
          <w:b/>
          <w:bCs/>
          <w:sz w:val="28"/>
          <w:szCs w:val="28"/>
        </w:rPr>
        <w:t>5.1</w:t>
      </w:r>
      <w:r>
        <w:rPr>
          <w:rFonts w:ascii="宋体" w:hAnsi="宋体" w:hint="eastAsia"/>
          <w:b/>
          <w:bCs/>
          <w:sz w:val="28"/>
          <w:szCs w:val="28"/>
        </w:rPr>
        <w:t>容积率</w:t>
      </w:r>
    </w:p>
    <w:p w:rsidR="008B0EA4" w:rsidRDefault="00184BAB">
      <w:pPr>
        <w:ind w:firstLineChars="200" w:firstLine="560"/>
        <w:rPr>
          <w:sz w:val="28"/>
          <w:szCs w:val="28"/>
        </w:rPr>
      </w:pPr>
      <w:r>
        <w:rPr>
          <w:rFonts w:hint="eastAsia"/>
          <w:sz w:val="28"/>
          <w:szCs w:val="28"/>
        </w:rPr>
        <w:t>二类居住用地：容积率≤</w:t>
      </w:r>
      <w:r>
        <w:rPr>
          <w:rFonts w:hint="eastAsia"/>
          <w:sz w:val="28"/>
          <w:szCs w:val="28"/>
        </w:rPr>
        <w:t>2.4</w:t>
      </w:r>
      <w:r>
        <w:rPr>
          <w:rFonts w:hint="eastAsia"/>
          <w:sz w:val="28"/>
          <w:szCs w:val="28"/>
        </w:rPr>
        <w:t>；</w:t>
      </w:r>
    </w:p>
    <w:p w:rsidR="008B0EA4" w:rsidRDefault="00184BAB">
      <w:pPr>
        <w:ind w:firstLineChars="200" w:firstLine="560"/>
        <w:rPr>
          <w:sz w:val="28"/>
          <w:szCs w:val="28"/>
        </w:rPr>
      </w:pPr>
      <w:r>
        <w:rPr>
          <w:rFonts w:ascii="宋体" w:hAnsi="宋体" w:hint="eastAsia"/>
          <w:sz w:val="28"/>
          <w:szCs w:val="28"/>
        </w:rPr>
        <w:t>公共管理与公共服务用地：文化设施用地容积率</w:t>
      </w:r>
      <w:r>
        <w:rPr>
          <w:rFonts w:hint="eastAsia"/>
          <w:sz w:val="28"/>
          <w:szCs w:val="28"/>
        </w:rPr>
        <w:t>≤</w:t>
      </w:r>
      <w:r>
        <w:rPr>
          <w:rFonts w:hint="eastAsia"/>
          <w:sz w:val="28"/>
          <w:szCs w:val="28"/>
        </w:rPr>
        <w:t>1.5</w:t>
      </w:r>
      <w:r>
        <w:rPr>
          <w:rFonts w:hint="eastAsia"/>
          <w:sz w:val="28"/>
          <w:szCs w:val="28"/>
        </w:rPr>
        <w:t>；</w:t>
      </w:r>
      <w:r>
        <w:rPr>
          <w:rFonts w:ascii="宋体" w:hAnsi="宋体" w:hint="eastAsia"/>
          <w:sz w:val="28"/>
          <w:szCs w:val="28"/>
        </w:rPr>
        <w:t>教育用地容积率</w:t>
      </w:r>
      <w:r>
        <w:rPr>
          <w:rFonts w:hint="eastAsia"/>
          <w:sz w:val="28"/>
          <w:szCs w:val="28"/>
        </w:rPr>
        <w:t>≤</w:t>
      </w:r>
      <w:r>
        <w:rPr>
          <w:rFonts w:hint="eastAsia"/>
          <w:sz w:val="28"/>
          <w:szCs w:val="28"/>
        </w:rPr>
        <w:t>1.5</w:t>
      </w:r>
      <w:r>
        <w:rPr>
          <w:rFonts w:hint="eastAsia"/>
          <w:sz w:val="28"/>
          <w:szCs w:val="28"/>
        </w:rPr>
        <w:t>；</w:t>
      </w:r>
      <w:r>
        <w:rPr>
          <w:rFonts w:ascii="宋体" w:hAnsi="宋体" w:hint="eastAsia"/>
          <w:sz w:val="28"/>
          <w:szCs w:val="28"/>
        </w:rPr>
        <w:t>医疗卫生用地容积率≤1.5；</w:t>
      </w:r>
    </w:p>
    <w:p w:rsidR="008B0EA4" w:rsidRDefault="00184BAB">
      <w:pPr>
        <w:ind w:firstLineChars="200" w:firstLine="560"/>
        <w:rPr>
          <w:sz w:val="28"/>
          <w:szCs w:val="28"/>
        </w:rPr>
      </w:pPr>
      <w:r>
        <w:rPr>
          <w:rFonts w:hint="eastAsia"/>
          <w:sz w:val="28"/>
          <w:szCs w:val="28"/>
        </w:rPr>
        <w:t>商业用地：容积率≤</w:t>
      </w:r>
      <w:r>
        <w:rPr>
          <w:rFonts w:hint="eastAsia"/>
          <w:sz w:val="28"/>
          <w:szCs w:val="28"/>
        </w:rPr>
        <w:t>2.5</w:t>
      </w:r>
      <w:r>
        <w:rPr>
          <w:rFonts w:hint="eastAsia"/>
          <w:sz w:val="28"/>
          <w:szCs w:val="28"/>
        </w:rPr>
        <w:t>；</w:t>
      </w:r>
    </w:p>
    <w:p w:rsidR="008B0EA4" w:rsidRDefault="00184BAB">
      <w:pPr>
        <w:ind w:firstLineChars="200" w:firstLine="560"/>
        <w:rPr>
          <w:rFonts w:ascii="宋体" w:hAnsi="宋体"/>
          <w:sz w:val="28"/>
          <w:szCs w:val="28"/>
        </w:rPr>
      </w:pPr>
      <w:r>
        <w:rPr>
          <w:rFonts w:ascii="宋体" w:hAnsi="宋体" w:hint="eastAsia"/>
          <w:sz w:val="28"/>
          <w:szCs w:val="28"/>
        </w:rPr>
        <w:t>其他公用设施用地均按国家有关规范控制其开发强度。</w:t>
      </w:r>
    </w:p>
    <w:p w:rsidR="008B0EA4" w:rsidRDefault="00184BAB">
      <w:pPr>
        <w:ind w:firstLineChars="200" w:firstLine="562"/>
        <w:rPr>
          <w:rFonts w:ascii="宋体" w:hAnsi="宋体"/>
          <w:sz w:val="28"/>
          <w:szCs w:val="28"/>
        </w:rPr>
      </w:pPr>
      <w:r>
        <w:rPr>
          <w:rFonts w:ascii="宋体" w:hAnsi="宋体" w:hint="eastAsia"/>
          <w:b/>
          <w:bCs/>
          <w:sz w:val="28"/>
          <w:szCs w:val="28"/>
        </w:rPr>
        <w:t>5</w:t>
      </w:r>
      <w:r>
        <w:rPr>
          <w:rFonts w:ascii="宋体" w:hAnsi="宋体"/>
          <w:b/>
          <w:bCs/>
          <w:sz w:val="28"/>
          <w:szCs w:val="28"/>
        </w:rPr>
        <w:t>.2</w:t>
      </w:r>
      <w:r>
        <w:rPr>
          <w:rFonts w:ascii="宋体" w:hAnsi="宋体" w:hint="eastAsia"/>
          <w:b/>
          <w:bCs/>
          <w:sz w:val="28"/>
          <w:szCs w:val="28"/>
        </w:rPr>
        <w:t>建筑高度</w:t>
      </w:r>
    </w:p>
    <w:p w:rsidR="008B0EA4" w:rsidRDefault="00184BAB">
      <w:pPr>
        <w:numPr>
          <w:ilvl w:val="0"/>
          <w:numId w:val="3"/>
        </w:numPr>
        <w:ind w:firstLineChars="200" w:firstLine="560"/>
        <w:rPr>
          <w:sz w:val="28"/>
          <w:szCs w:val="28"/>
        </w:rPr>
      </w:pPr>
      <w:r>
        <w:rPr>
          <w:rFonts w:hint="eastAsia"/>
          <w:sz w:val="28"/>
          <w:szCs w:val="28"/>
        </w:rPr>
        <w:t>多层控制区：主要位于召公路的两侧，以学校、社会福利用地和居住为主，高度控制在</w:t>
      </w:r>
      <w:r>
        <w:rPr>
          <w:rFonts w:hint="eastAsia"/>
          <w:sz w:val="28"/>
          <w:szCs w:val="28"/>
        </w:rPr>
        <w:t>24</w:t>
      </w:r>
      <w:r>
        <w:rPr>
          <w:rFonts w:hint="eastAsia"/>
          <w:sz w:val="28"/>
          <w:szCs w:val="28"/>
        </w:rPr>
        <w:t>米以下。</w:t>
      </w:r>
    </w:p>
    <w:p w:rsidR="008B0EA4" w:rsidRDefault="00184BAB">
      <w:pPr>
        <w:numPr>
          <w:ilvl w:val="0"/>
          <w:numId w:val="3"/>
        </w:numPr>
        <w:ind w:firstLineChars="200" w:firstLine="560"/>
        <w:rPr>
          <w:sz w:val="28"/>
          <w:szCs w:val="28"/>
        </w:rPr>
      </w:pPr>
      <w:r>
        <w:rPr>
          <w:rFonts w:ascii="宋体" w:hAnsi="宋体" w:hint="eastAsia"/>
          <w:sz w:val="28"/>
          <w:szCs w:val="28"/>
        </w:rPr>
        <w:t>混合控制区：主要位于仰韶大道以南</w:t>
      </w:r>
      <w:r w:rsidR="00E10ED2">
        <w:rPr>
          <w:rFonts w:ascii="宋体" w:hAnsi="宋体" w:hint="eastAsia"/>
          <w:sz w:val="28"/>
          <w:szCs w:val="28"/>
        </w:rPr>
        <w:t>、</w:t>
      </w:r>
      <w:r>
        <w:rPr>
          <w:rFonts w:ascii="宋体" w:hAnsi="宋体" w:hint="eastAsia"/>
          <w:sz w:val="28"/>
          <w:szCs w:val="28"/>
        </w:rPr>
        <w:t>茅津南路以东，以居</w:t>
      </w:r>
      <w:r>
        <w:rPr>
          <w:rFonts w:ascii="宋体" w:hAnsi="宋体" w:hint="eastAsia"/>
          <w:sz w:val="28"/>
          <w:szCs w:val="28"/>
        </w:rPr>
        <w:lastRenderedPageBreak/>
        <w:t>住用地为主，高度控制在36米以下。</w:t>
      </w:r>
    </w:p>
    <w:p w:rsidR="008B0EA4" w:rsidRDefault="00184BAB">
      <w:pPr>
        <w:numPr>
          <w:ilvl w:val="0"/>
          <w:numId w:val="3"/>
        </w:numPr>
        <w:ind w:firstLineChars="200" w:firstLine="560"/>
        <w:rPr>
          <w:sz w:val="28"/>
          <w:szCs w:val="28"/>
        </w:rPr>
      </w:pPr>
      <w:r>
        <w:rPr>
          <w:rFonts w:ascii="宋体" w:hAnsi="宋体" w:hint="eastAsia"/>
          <w:sz w:val="28"/>
          <w:szCs w:val="28"/>
        </w:rPr>
        <w:t>小高层控制区：主要位于安福街</w:t>
      </w:r>
      <w:bookmarkStart w:id="0" w:name="_GoBack"/>
      <w:bookmarkEnd w:id="0"/>
      <w:r>
        <w:rPr>
          <w:rFonts w:ascii="宋体" w:hAnsi="宋体" w:hint="eastAsia"/>
          <w:sz w:val="28"/>
          <w:szCs w:val="28"/>
        </w:rPr>
        <w:t>两侧以及崤函大道的东侧，以居住用地和商业用地为主，高度控制在60米以下。</w:t>
      </w:r>
    </w:p>
    <w:p w:rsidR="008B0EA4" w:rsidRDefault="00184BAB">
      <w:pPr>
        <w:numPr>
          <w:ilvl w:val="0"/>
          <w:numId w:val="3"/>
        </w:numPr>
        <w:ind w:firstLineChars="200" w:firstLine="560"/>
        <w:rPr>
          <w:sz w:val="28"/>
          <w:szCs w:val="28"/>
        </w:rPr>
      </w:pPr>
      <w:r>
        <w:rPr>
          <w:rFonts w:ascii="宋体" w:hAnsi="宋体" w:hint="eastAsia"/>
          <w:sz w:val="28"/>
          <w:szCs w:val="28"/>
        </w:rPr>
        <w:t>高层控制区：为现状的居住用地。</w:t>
      </w:r>
    </w:p>
    <w:p w:rsidR="008B0EA4" w:rsidRDefault="00184BAB">
      <w:pPr>
        <w:ind w:firstLineChars="200" w:firstLine="562"/>
        <w:rPr>
          <w:rFonts w:ascii="宋体" w:hAnsi="宋体"/>
          <w:sz w:val="28"/>
          <w:szCs w:val="28"/>
        </w:rPr>
      </w:pPr>
      <w:r>
        <w:rPr>
          <w:rFonts w:ascii="宋体" w:hAnsi="宋体" w:hint="eastAsia"/>
          <w:b/>
          <w:bCs/>
          <w:sz w:val="28"/>
          <w:szCs w:val="28"/>
        </w:rPr>
        <w:t>5</w:t>
      </w:r>
      <w:r>
        <w:rPr>
          <w:rFonts w:ascii="宋体" w:hAnsi="宋体"/>
          <w:b/>
          <w:bCs/>
          <w:sz w:val="28"/>
          <w:szCs w:val="28"/>
        </w:rPr>
        <w:t>.3</w:t>
      </w:r>
      <w:r>
        <w:rPr>
          <w:rFonts w:ascii="宋体" w:hAnsi="宋体" w:hint="eastAsia"/>
          <w:b/>
          <w:bCs/>
          <w:sz w:val="28"/>
          <w:szCs w:val="28"/>
        </w:rPr>
        <w:t>建筑密度</w:t>
      </w:r>
    </w:p>
    <w:p w:rsidR="008B0EA4" w:rsidRDefault="00184BAB">
      <w:pPr>
        <w:ind w:firstLineChars="200" w:firstLine="560"/>
        <w:rPr>
          <w:rFonts w:ascii="宋体" w:hAnsi="宋体"/>
          <w:sz w:val="28"/>
          <w:szCs w:val="28"/>
        </w:rPr>
      </w:pPr>
      <w:r>
        <w:rPr>
          <w:rFonts w:ascii="宋体" w:hAnsi="宋体" w:hint="eastAsia"/>
          <w:sz w:val="28"/>
          <w:szCs w:val="28"/>
        </w:rPr>
        <w:t>二类居住用地建筑密度≤30%；</w:t>
      </w:r>
    </w:p>
    <w:p w:rsidR="008B0EA4" w:rsidRDefault="00184BAB">
      <w:pPr>
        <w:ind w:firstLineChars="200" w:firstLine="560"/>
        <w:rPr>
          <w:rFonts w:ascii="宋体" w:hAnsi="宋体"/>
          <w:sz w:val="28"/>
          <w:szCs w:val="28"/>
        </w:rPr>
      </w:pPr>
      <w:r>
        <w:rPr>
          <w:rFonts w:ascii="宋体" w:hAnsi="宋体" w:hint="eastAsia"/>
          <w:sz w:val="28"/>
          <w:szCs w:val="28"/>
        </w:rPr>
        <w:t>公共管理与公共服务用地：教育用地建筑密度≤40%；医疗卫生用地建筑密度≤3</w:t>
      </w:r>
      <w:r>
        <w:rPr>
          <w:rFonts w:ascii="宋体" w:hAnsi="宋体"/>
          <w:sz w:val="28"/>
          <w:szCs w:val="28"/>
        </w:rPr>
        <w:t>0</w:t>
      </w:r>
      <w:r>
        <w:rPr>
          <w:rFonts w:ascii="宋体" w:hAnsi="宋体" w:hint="eastAsia"/>
          <w:sz w:val="28"/>
          <w:szCs w:val="28"/>
        </w:rPr>
        <w:t>%；</w:t>
      </w:r>
    </w:p>
    <w:p w:rsidR="008B0EA4" w:rsidRDefault="00184BAB">
      <w:pPr>
        <w:ind w:firstLineChars="200" w:firstLine="560"/>
        <w:rPr>
          <w:rFonts w:ascii="宋体" w:hAnsi="宋体"/>
          <w:sz w:val="28"/>
          <w:szCs w:val="28"/>
        </w:rPr>
      </w:pPr>
      <w:r>
        <w:rPr>
          <w:rFonts w:ascii="宋体" w:hAnsi="宋体" w:hint="eastAsia"/>
          <w:sz w:val="28"/>
          <w:szCs w:val="28"/>
        </w:rPr>
        <w:t>商业用地建筑密度≤40%。</w:t>
      </w:r>
    </w:p>
    <w:p w:rsidR="008B0EA4" w:rsidRDefault="00184BAB">
      <w:pPr>
        <w:ind w:firstLineChars="200" w:firstLine="560"/>
        <w:rPr>
          <w:rFonts w:ascii="宋体" w:hAnsi="宋体"/>
          <w:sz w:val="24"/>
        </w:rPr>
      </w:pPr>
      <w:r>
        <w:rPr>
          <w:rFonts w:ascii="宋体" w:hAnsi="宋体" w:hint="eastAsia"/>
          <w:sz w:val="28"/>
          <w:szCs w:val="28"/>
        </w:rPr>
        <w:t>其他公用设施用地均按国家有关规范控制其开发强度。</w:t>
      </w:r>
    </w:p>
    <w:p w:rsidR="008B0EA4" w:rsidRDefault="00184BAB">
      <w:pPr>
        <w:ind w:firstLineChars="200" w:firstLine="562"/>
        <w:rPr>
          <w:rFonts w:ascii="宋体" w:hAnsi="宋体"/>
          <w:sz w:val="28"/>
          <w:szCs w:val="28"/>
        </w:rPr>
      </w:pPr>
      <w:r>
        <w:rPr>
          <w:rFonts w:ascii="宋体" w:hAnsi="宋体" w:hint="eastAsia"/>
          <w:b/>
          <w:bCs/>
          <w:sz w:val="28"/>
          <w:szCs w:val="28"/>
        </w:rPr>
        <w:t>5</w:t>
      </w:r>
      <w:r>
        <w:rPr>
          <w:rFonts w:ascii="宋体" w:hAnsi="宋体"/>
          <w:b/>
          <w:bCs/>
          <w:sz w:val="28"/>
          <w:szCs w:val="28"/>
        </w:rPr>
        <w:t>.4</w:t>
      </w:r>
      <w:r>
        <w:rPr>
          <w:rFonts w:ascii="宋体" w:hAnsi="宋体" w:hint="eastAsia"/>
          <w:b/>
          <w:bCs/>
          <w:sz w:val="28"/>
          <w:szCs w:val="28"/>
        </w:rPr>
        <w:t>绿地率</w:t>
      </w:r>
    </w:p>
    <w:p w:rsidR="008B0EA4" w:rsidRDefault="00184BAB">
      <w:pPr>
        <w:ind w:firstLineChars="200" w:firstLine="560"/>
        <w:rPr>
          <w:rFonts w:ascii="宋体" w:hAnsi="宋体"/>
          <w:sz w:val="28"/>
          <w:szCs w:val="28"/>
        </w:rPr>
      </w:pPr>
      <w:r>
        <w:rPr>
          <w:rFonts w:ascii="宋体" w:hAnsi="宋体" w:hint="eastAsia"/>
          <w:sz w:val="28"/>
          <w:szCs w:val="28"/>
        </w:rPr>
        <w:t>二类居住用地绿地率≥30%；</w:t>
      </w:r>
    </w:p>
    <w:p w:rsidR="008B0EA4" w:rsidRDefault="00184BAB">
      <w:pPr>
        <w:ind w:firstLineChars="200" w:firstLine="560"/>
        <w:rPr>
          <w:rFonts w:ascii="宋体" w:hAnsi="宋体"/>
          <w:sz w:val="28"/>
          <w:szCs w:val="28"/>
        </w:rPr>
      </w:pPr>
      <w:r>
        <w:rPr>
          <w:rFonts w:ascii="宋体" w:hAnsi="宋体" w:hint="eastAsia"/>
          <w:sz w:val="28"/>
          <w:szCs w:val="28"/>
        </w:rPr>
        <w:t>教育用地绿地率≥35%；</w:t>
      </w:r>
    </w:p>
    <w:p w:rsidR="008B0EA4" w:rsidRDefault="00184BAB">
      <w:pPr>
        <w:ind w:firstLineChars="200" w:firstLine="560"/>
        <w:rPr>
          <w:rFonts w:ascii="宋体" w:hAnsi="宋体"/>
          <w:sz w:val="28"/>
          <w:szCs w:val="28"/>
        </w:rPr>
      </w:pPr>
      <w:r>
        <w:rPr>
          <w:rFonts w:ascii="宋体" w:hAnsi="宋体" w:hint="eastAsia"/>
          <w:sz w:val="28"/>
          <w:szCs w:val="28"/>
        </w:rPr>
        <w:t>商业用地绿地率≥20%；</w:t>
      </w:r>
    </w:p>
    <w:p w:rsidR="008B0EA4" w:rsidRDefault="00184BAB">
      <w:pPr>
        <w:ind w:firstLineChars="200" w:firstLine="560"/>
        <w:rPr>
          <w:rFonts w:ascii="宋体" w:hAnsi="宋体"/>
          <w:sz w:val="28"/>
          <w:szCs w:val="28"/>
        </w:rPr>
      </w:pPr>
      <w:r>
        <w:rPr>
          <w:rFonts w:ascii="宋体" w:hAnsi="宋体" w:hint="eastAsia"/>
          <w:sz w:val="28"/>
          <w:szCs w:val="28"/>
        </w:rPr>
        <w:t>公园绿地绿地率≥70%；</w:t>
      </w:r>
    </w:p>
    <w:p w:rsidR="008B0EA4" w:rsidRDefault="00184BAB">
      <w:pPr>
        <w:ind w:firstLineChars="200" w:firstLine="560"/>
        <w:rPr>
          <w:rFonts w:ascii="宋体" w:hAnsi="宋体"/>
          <w:sz w:val="24"/>
        </w:rPr>
      </w:pPr>
      <w:r>
        <w:rPr>
          <w:rFonts w:ascii="宋体" w:hAnsi="宋体" w:hint="eastAsia"/>
          <w:sz w:val="28"/>
          <w:szCs w:val="28"/>
        </w:rPr>
        <w:t>其他公用设施用地均按国家有关规范控制其开发强度。</w:t>
      </w:r>
    </w:p>
    <w:p w:rsidR="008B0EA4" w:rsidRDefault="00184BAB">
      <w:pPr>
        <w:rPr>
          <w:rFonts w:ascii="宋体" w:hAnsi="宋体"/>
          <w:b/>
          <w:bCs/>
          <w:sz w:val="30"/>
          <w:szCs w:val="30"/>
        </w:rPr>
      </w:pPr>
      <w:r>
        <w:rPr>
          <w:rFonts w:ascii="宋体" w:hAnsi="宋体" w:hint="eastAsia"/>
          <w:b/>
          <w:bCs/>
          <w:sz w:val="30"/>
          <w:szCs w:val="30"/>
        </w:rPr>
        <w:t>六、公共服务设施</w:t>
      </w:r>
    </w:p>
    <w:p w:rsidR="008B0EA4" w:rsidRDefault="00184BAB">
      <w:pPr>
        <w:ind w:firstLineChars="200" w:firstLine="560"/>
        <w:rPr>
          <w:rFonts w:ascii="宋体" w:hAnsi="宋体"/>
          <w:sz w:val="28"/>
          <w:szCs w:val="28"/>
        </w:rPr>
      </w:pPr>
      <w:r>
        <w:rPr>
          <w:rFonts w:ascii="宋体" w:hAnsi="宋体" w:hint="eastAsia"/>
          <w:sz w:val="28"/>
          <w:szCs w:val="28"/>
        </w:rPr>
        <w:t>本次规划依据《城市居住区规划设计标准（2018）》以及规划区的实际情况，形成1个十五分钟生活圈、3个十分钟生活圈和5个五分钟生活圈，完善三个等级生活圈配套设施，提供高品质公共服务。</w:t>
      </w:r>
    </w:p>
    <w:p w:rsidR="008B0EA4" w:rsidRDefault="00184BAB">
      <w:pPr>
        <w:ind w:firstLineChars="200" w:firstLine="560"/>
        <w:rPr>
          <w:sz w:val="24"/>
        </w:rPr>
      </w:pPr>
      <w:r>
        <w:rPr>
          <w:rFonts w:ascii="宋体" w:hAnsi="宋体" w:hint="eastAsia"/>
          <w:sz w:val="28"/>
          <w:szCs w:val="28"/>
        </w:rPr>
        <w:t>十分钟生活圈采用高效合理的小街坊、高密度路网方式规划布局，主要包含教育设施、交通服务设施、综合医院、文化设施、养老服务</w:t>
      </w:r>
      <w:r>
        <w:rPr>
          <w:rFonts w:ascii="宋体" w:hAnsi="宋体" w:hint="eastAsia"/>
          <w:sz w:val="28"/>
          <w:szCs w:val="28"/>
        </w:rPr>
        <w:lastRenderedPageBreak/>
        <w:t>中心、体育活动中心和消防站。五分钟生活圈以生活街道、开敞绿地为布局基准点，混合布置各类服务功能，主要包含社区医院、社区养老院、农贸市场、文化活动站等公共服务设施。</w:t>
      </w:r>
    </w:p>
    <w:p w:rsidR="008B0EA4" w:rsidRDefault="00184BAB">
      <w:pPr>
        <w:ind w:firstLineChars="200" w:firstLine="562"/>
        <w:rPr>
          <w:rFonts w:ascii="宋体" w:hAnsi="宋体"/>
          <w:b/>
          <w:bCs/>
          <w:sz w:val="28"/>
          <w:szCs w:val="28"/>
        </w:rPr>
      </w:pPr>
      <w:r>
        <w:rPr>
          <w:rFonts w:ascii="宋体" w:hAnsi="宋体"/>
          <w:b/>
          <w:bCs/>
          <w:sz w:val="28"/>
          <w:szCs w:val="28"/>
        </w:rPr>
        <w:t>6.1</w:t>
      </w:r>
      <w:r>
        <w:rPr>
          <w:rFonts w:ascii="宋体" w:hAnsi="宋体" w:hint="eastAsia"/>
          <w:b/>
          <w:bCs/>
          <w:sz w:val="28"/>
          <w:szCs w:val="28"/>
        </w:rPr>
        <w:t>教育设施规划</w:t>
      </w:r>
    </w:p>
    <w:p w:rsidR="008B0EA4" w:rsidRDefault="00184BAB">
      <w:pPr>
        <w:ind w:firstLineChars="200" w:firstLine="560"/>
        <w:rPr>
          <w:sz w:val="28"/>
          <w:szCs w:val="28"/>
        </w:rPr>
      </w:pPr>
      <w:r>
        <w:rPr>
          <w:rFonts w:hint="eastAsia"/>
          <w:sz w:val="28"/>
          <w:szCs w:val="28"/>
        </w:rPr>
        <w:t>规划共包含</w:t>
      </w:r>
      <w:r>
        <w:rPr>
          <w:rFonts w:hint="eastAsia"/>
          <w:sz w:val="28"/>
          <w:szCs w:val="28"/>
        </w:rPr>
        <w:t>1</w:t>
      </w:r>
      <w:r>
        <w:rPr>
          <w:rFonts w:hint="eastAsia"/>
          <w:sz w:val="28"/>
          <w:szCs w:val="28"/>
        </w:rPr>
        <w:t>所继续教育学院、</w:t>
      </w:r>
      <w:r>
        <w:rPr>
          <w:rFonts w:hint="eastAsia"/>
          <w:sz w:val="28"/>
          <w:szCs w:val="28"/>
        </w:rPr>
        <w:t>1</w:t>
      </w:r>
      <w:r>
        <w:rPr>
          <w:rFonts w:hint="eastAsia"/>
          <w:sz w:val="28"/>
          <w:szCs w:val="28"/>
        </w:rPr>
        <w:t>所初中、</w:t>
      </w:r>
      <w:r>
        <w:rPr>
          <w:rFonts w:hint="eastAsia"/>
          <w:sz w:val="28"/>
          <w:szCs w:val="28"/>
        </w:rPr>
        <w:t>3</w:t>
      </w:r>
      <w:r>
        <w:rPr>
          <w:rFonts w:hint="eastAsia"/>
          <w:sz w:val="28"/>
          <w:szCs w:val="28"/>
        </w:rPr>
        <w:t>所小学和</w:t>
      </w:r>
      <w:r>
        <w:rPr>
          <w:rFonts w:hint="eastAsia"/>
          <w:sz w:val="28"/>
          <w:szCs w:val="28"/>
        </w:rPr>
        <w:t>4</w:t>
      </w:r>
      <w:r>
        <w:rPr>
          <w:rFonts w:hint="eastAsia"/>
          <w:sz w:val="28"/>
          <w:szCs w:val="28"/>
        </w:rPr>
        <w:t>所幼儿园。</w:t>
      </w:r>
    </w:p>
    <w:p w:rsidR="008B0EA4" w:rsidRDefault="00184BAB">
      <w:pPr>
        <w:ind w:firstLineChars="200" w:firstLine="562"/>
        <w:rPr>
          <w:rFonts w:ascii="宋体" w:hAnsi="宋体"/>
          <w:b/>
          <w:bCs/>
          <w:sz w:val="28"/>
          <w:szCs w:val="28"/>
        </w:rPr>
      </w:pPr>
      <w:r>
        <w:rPr>
          <w:rFonts w:ascii="宋体" w:hAnsi="宋体"/>
          <w:b/>
          <w:bCs/>
          <w:sz w:val="28"/>
          <w:szCs w:val="28"/>
        </w:rPr>
        <w:t>6.2</w:t>
      </w:r>
      <w:r>
        <w:rPr>
          <w:rFonts w:ascii="宋体" w:hAnsi="宋体" w:hint="eastAsia"/>
          <w:b/>
          <w:bCs/>
          <w:sz w:val="28"/>
          <w:szCs w:val="28"/>
        </w:rPr>
        <w:t>医疗卫生设施</w:t>
      </w:r>
    </w:p>
    <w:p w:rsidR="008B0EA4" w:rsidRDefault="00184BAB">
      <w:pPr>
        <w:ind w:firstLineChars="200" w:firstLine="560"/>
        <w:rPr>
          <w:sz w:val="28"/>
          <w:szCs w:val="28"/>
        </w:rPr>
      </w:pPr>
      <w:r>
        <w:rPr>
          <w:rFonts w:hint="eastAsia"/>
          <w:sz w:val="28"/>
          <w:szCs w:val="28"/>
        </w:rPr>
        <w:t>规划共包含</w:t>
      </w:r>
      <w:r>
        <w:rPr>
          <w:rFonts w:hint="eastAsia"/>
          <w:sz w:val="28"/>
          <w:szCs w:val="28"/>
        </w:rPr>
        <w:t>4</w:t>
      </w:r>
      <w:r>
        <w:rPr>
          <w:rFonts w:hint="eastAsia"/>
          <w:sz w:val="28"/>
          <w:szCs w:val="28"/>
        </w:rPr>
        <w:t>座医疗卫生设施，包括一处专科医院，一处湖滨区医院、一处社区医院和精神病院，其中精神病院为现状保留，其余均为规划新建。</w:t>
      </w:r>
    </w:p>
    <w:p w:rsidR="008B0EA4" w:rsidRDefault="00184BAB">
      <w:pPr>
        <w:ind w:firstLineChars="200" w:firstLine="562"/>
        <w:rPr>
          <w:rFonts w:ascii="宋体" w:hAnsi="宋体"/>
          <w:b/>
          <w:bCs/>
          <w:sz w:val="28"/>
          <w:szCs w:val="28"/>
        </w:rPr>
      </w:pPr>
      <w:r>
        <w:rPr>
          <w:rFonts w:ascii="宋体" w:hAnsi="宋体" w:hint="eastAsia"/>
          <w:b/>
          <w:bCs/>
          <w:sz w:val="28"/>
          <w:szCs w:val="28"/>
        </w:rPr>
        <w:t>6.3社会福利设施规划</w:t>
      </w:r>
    </w:p>
    <w:p w:rsidR="008B0EA4" w:rsidRDefault="00184BAB">
      <w:pPr>
        <w:ind w:firstLineChars="200" w:firstLine="560"/>
        <w:rPr>
          <w:sz w:val="28"/>
          <w:szCs w:val="28"/>
        </w:rPr>
      </w:pPr>
      <w:r>
        <w:rPr>
          <w:rFonts w:hint="eastAsia"/>
          <w:sz w:val="28"/>
          <w:szCs w:val="28"/>
        </w:rPr>
        <w:t>共规划</w:t>
      </w:r>
      <w:r>
        <w:rPr>
          <w:rFonts w:hint="eastAsia"/>
          <w:sz w:val="28"/>
          <w:szCs w:val="28"/>
        </w:rPr>
        <w:t>3</w:t>
      </w:r>
      <w:r>
        <w:rPr>
          <w:rFonts w:hint="eastAsia"/>
          <w:sz w:val="28"/>
          <w:szCs w:val="28"/>
        </w:rPr>
        <w:t>处社会福利设施用地，其中规划新建</w:t>
      </w:r>
      <w:r>
        <w:rPr>
          <w:rFonts w:hint="eastAsia"/>
          <w:sz w:val="28"/>
          <w:szCs w:val="28"/>
        </w:rPr>
        <w:t>1</w:t>
      </w:r>
      <w:r>
        <w:rPr>
          <w:rFonts w:hint="eastAsia"/>
          <w:sz w:val="28"/>
          <w:szCs w:val="28"/>
        </w:rPr>
        <w:t>处市级康养设施用地、</w:t>
      </w:r>
      <w:r>
        <w:rPr>
          <w:rFonts w:hint="eastAsia"/>
          <w:sz w:val="28"/>
          <w:szCs w:val="28"/>
        </w:rPr>
        <w:t>1</w:t>
      </w:r>
      <w:r>
        <w:rPr>
          <w:rFonts w:hint="eastAsia"/>
          <w:sz w:val="28"/>
          <w:szCs w:val="28"/>
        </w:rPr>
        <w:t>处街道级养老院，规划保留现状的儿童福利院。</w:t>
      </w:r>
    </w:p>
    <w:p w:rsidR="008B0EA4" w:rsidRDefault="00184BAB">
      <w:pPr>
        <w:ind w:firstLineChars="200" w:firstLine="562"/>
        <w:rPr>
          <w:rFonts w:ascii="宋体" w:hAnsi="宋体"/>
          <w:b/>
          <w:bCs/>
          <w:sz w:val="28"/>
          <w:szCs w:val="28"/>
        </w:rPr>
      </w:pPr>
      <w:r>
        <w:rPr>
          <w:rFonts w:ascii="宋体" w:hAnsi="宋体"/>
          <w:b/>
          <w:bCs/>
          <w:sz w:val="28"/>
          <w:szCs w:val="28"/>
        </w:rPr>
        <w:t>6.4</w:t>
      </w:r>
      <w:r>
        <w:rPr>
          <w:rFonts w:ascii="宋体" w:hAnsi="宋体" w:hint="eastAsia"/>
          <w:b/>
          <w:bCs/>
          <w:sz w:val="28"/>
          <w:szCs w:val="28"/>
        </w:rPr>
        <w:t>文化设施</w:t>
      </w:r>
    </w:p>
    <w:p w:rsidR="008B0EA4" w:rsidRDefault="00184BAB">
      <w:pPr>
        <w:ind w:firstLineChars="200" w:firstLine="560"/>
        <w:rPr>
          <w:sz w:val="28"/>
          <w:szCs w:val="28"/>
        </w:rPr>
      </w:pPr>
      <w:r>
        <w:rPr>
          <w:rFonts w:hint="eastAsia"/>
          <w:sz w:val="28"/>
          <w:szCs w:val="28"/>
        </w:rPr>
        <w:t>本次共规划一处文化设施用地，位于南工路以南、冶东路以东，占地面积为</w:t>
      </w:r>
      <w:r>
        <w:rPr>
          <w:rFonts w:hint="eastAsia"/>
          <w:sz w:val="28"/>
          <w:szCs w:val="28"/>
        </w:rPr>
        <w:t>0.61</w:t>
      </w:r>
      <w:r>
        <w:rPr>
          <w:rFonts w:hint="eastAsia"/>
          <w:sz w:val="28"/>
          <w:szCs w:val="28"/>
        </w:rPr>
        <w:t>公顷，可设置图书馆、科技馆、文化馆、老年活动中心、综合文化中心等。</w:t>
      </w:r>
    </w:p>
    <w:p w:rsidR="008B0EA4" w:rsidRDefault="00184BAB">
      <w:pPr>
        <w:ind w:firstLineChars="200" w:firstLine="562"/>
        <w:rPr>
          <w:rFonts w:ascii="宋体" w:hAnsi="宋体"/>
          <w:b/>
          <w:bCs/>
          <w:sz w:val="28"/>
          <w:szCs w:val="28"/>
        </w:rPr>
      </w:pPr>
      <w:r>
        <w:rPr>
          <w:rFonts w:ascii="宋体" w:hAnsi="宋体"/>
          <w:b/>
          <w:bCs/>
          <w:sz w:val="28"/>
          <w:szCs w:val="28"/>
        </w:rPr>
        <w:t>6.5</w:t>
      </w:r>
      <w:r>
        <w:rPr>
          <w:rFonts w:ascii="宋体" w:hAnsi="宋体" w:hint="eastAsia"/>
          <w:b/>
          <w:bCs/>
          <w:sz w:val="28"/>
          <w:szCs w:val="28"/>
        </w:rPr>
        <w:t>体育设施</w:t>
      </w:r>
    </w:p>
    <w:p w:rsidR="008B0EA4" w:rsidRDefault="00184BAB">
      <w:pPr>
        <w:ind w:firstLine="560"/>
        <w:rPr>
          <w:sz w:val="28"/>
          <w:szCs w:val="28"/>
        </w:rPr>
      </w:pPr>
      <w:r>
        <w:rPr>
          <w:rFonts w:hint="eastAsia"/>
          <w:sz w:val="28"/>
          <w:szCs w:val="28"/>
        </w:rPr>
        <w:t>规划在涧南路以北、冶东路以东新建</w:t>
      </w:r>
      <w:r>
        <w:rPr>
          <w:rFonts w:hint="eastAsia"/>
          <w:sz w:val="28"/>
          <w:szCs w:val="28"/>
        </w:rPr>
        <w:t>1</w:t>
      </w:r>
      <w:r>
        <w:rPr>
          <w:rFonts w:hint="eastAsia"/>
          <w:sz w:val="28"/>
          <w:szCs w:val="28"/>
        </w:rPr>
        <w:t>处街道级体育设施，占地面积为</w:t>
      </w:r>
      <w:r>
        <w:rPr>
          <w:rFonts w:hint="eastAsia"/>
          <w:sz w:val="28"/>
          <w:szCs w:val="28"/>
        </w:rPr>
        <w:t>0.70</w:t>
      </w:r>
      <w:r>
        <w:rPr>
          <w:rFonts w:hint="eastAsia"/>
          <w:sz w:val="28"/>
          <w:szCs w:val="28"/>
        </w:rPr>
        <w:t>公顷，其余小型的活动场地可结合居住区进行设置。</w:t>
      </w:r>
    </w:p>
    <w:p w:rsidR="008B0EA4" w:rsidRDefault="00184BAB">
      <w:pPr>
        <w:rPr>
          <w:rFonts w:ascii="宋体" w:hAnsi="宋体"/>
          <w:b/>
          <w:bCs/>
          <w:sz w:val="30"/>
          <w:szCs w:val="30"/>
        </w:rPr>
      </w:pPr>
      <w:r>
        <w:rPr>
          <w:rFonts w:ascii="宋体" w:hAnsi="宋体" w:hint="eastAsia"/>
          <w:b/>
          <w:bCs/>
          <w:sz w:val="30"/>
          <w:szCs w:val="30"/>
        </w:rPr>
        <w:t>七、景观绿地规划</w:t>
      </w:r>
    </w:p>
    <w:p w:rsidR="008B0EA4" w:rsidRDefault="00184BAB">
      <w:pPr>
        <w:ind w:firstLine="560"/>
        <w:rPr>
          <w:sz w:val="28"/>
          <w:szCs w:val="28"/>
        </w:rPr>
      </w:pPr>
      <w:r>
        <w:rPr>
          <w:rFonts w:hint="eastAsia"/>
          <w:sz w:val="28"/>
          <w:szCs w:val="28"/>
        </w:rPr>
        <w:t>本次规划以陕州大道城市设计为指导，并结合片区内的实际情况，</w:t>
      </w:r>
      <w:r>
        <w:rPr>
          <w:rFonts w:hint="eastAsia"/>
          <w:sz w:val="28"/>
          <w:szCs w:val="28"/>
        </w:rPr>
        <w:lastRenderedPageBreak/>
        <w:t>规划区“一廊一轴多节点”的绿地系统结构。</w:t>
      </w:r>
    </w:p>
    <w:p w:rsidR="008B0EA4" w:rsidRDefault="00184BAB">
      <w:pPr>
        <w:ind w:firstLine="560"/>
        <w:rPr>
          <w:sz w:val="28"/>
          <w:szCs w:val="28"/>
        </w:rPr>
      </w:pPr>
      <w:r>
        <w:rPr>
          <w:rFonts w:hint="eastAsia"/>
          <w:sz w:val="28"/>
          <w:szCs w:val="28"/>
        </w:rPr>
        <w:t>一廊：即沿南侧的南山绿带形成南山沿线生态绿廊。</w:t>
      </w:r>
    </w:p>
    <w:p w:rsidR="008B0EA4" w:rsidRDefault="00184BAB">
      <w:pPr>
        <w:ind w:firstLine="560"/>
        <w:rPr>
          <w:sz w:val="28"/>
          <w:szCs w:val="28"/>
        </w:rPr>
      </w:pPr>
      <w:r>
        <w:rPr>
          <w:rFonts w:hint="eastAsia"/>
          <w:sz w:val="28"/>
          <w:szCs w:val="28"/>
        </w:rPr>
        <w:t>一轴：即沿仰韶大道及北侧的青龙涧河水系、涧河运动公园、带状公园等形成生态轴线。</w:t>
      </w:r>
    </w:p>
    <w:p w:rsidR="008B0EA4" w:rsidRDefault="00184BAB">
      <w:pPr>
        <w:ind w:firstLine="560"/>
        <w:rPr>
          <w:sz w:val="28"/>
          <w:szCs w:val="28"/>
        </w:rPr>
      </w:pPr>
      <w:r>
        <w:rPr>
          <w:rFonts w:hint="eastAsia"/>
          <w:sz w:val="28"/>
          <w:szCs w:val="28"/>
        </w:rPr>
        <w:t>多节点：结合改造计划，在主要道路交叉口处及边角地设置小型公共绿地，包括东高速口形成的雕塑广场、三甘线以东形成的高线公园以及茅津南路以南形成的绿道驿站等景观节点。</w:t>
      </w:r>
    </w:p>
    <w:p w:rsidR="008B0EA4" w:rsidRDefault="00184BAB">
      <w:pPr>
        <w:rPr>
          <w:rFonts w:ascii="宋体" w:hAnsi="宋体"/>
          <w:b/>
          <w:bCs/>
          <w:sz w:val="30"/>
          <w:szCs w:val="30"/>
        </w:rPr>
      </w:pPr>
      <w:r>
        <w:rPr>
          <w:rFonts w:ascii="宋体" w:hAnsi="宋体" w:hint="eastAsia"/>
          <w:b/>
          <w:bCs/>
          <w:sz w:val="30"/>
          <w:szCs w:val="30"/>
        </w:rPr>
        <w:t>八、道路交通系统规划</w:t>
      </w:r>
    </w:p>
    <w:p w:rsidR="008B0EA4" w:rsidRDefault="00184BAB">
      <w:pPr>
        <w:ind w:firstLineChars="200" w:firstLine="562"/>
        <w:rPr>
          <w:rFonts w:ascii="宋体" w:hAnsi="宋体"/>
          <w:b/>
          <w:bCs/>
          <w:sz w:val="28"/>
          <w:szCs w:val="28"/>
        </w:rPr>
      </w:pPr>
      <w:bookmarkStart w:id="1" w:name="_Toc1296"/>
      <w:bookmarkStart w:id="2" w:name="_Toc30847"/>
      <w:r>
        <w:rPr>
          <w:rFonts w:ascii="宋体" w:hAnsi="宋体" w:hint="eastAsia"/>
          <w:b/>
          <w:bCs/>
          <w:sz w:val="28"/>
          <w:szCs w:val="28"/>
        </w:rPr>
        <w:t>8.1道路系统规划</w:t>
      </w:r>
      <w:bookmarkEnd w:id="1"/>
      <w:bookmarkEnd w:id="2"/>
    </w:p>
    <w:p w:rsidR="008B0EA4" w:rsidRDefault="00184BAB">
      <w:pPr>
        <w:ind w:firstLine="560"/>
        <w:rPr>
          <w:sz w:val="28"/>
          <w:szCs w:val="28"/>
        </w:rPr>
      </w:pPr>
      <w:r>
        <w:rPr>
          <w:rFonts w:hint="eastAsia"/>
          <w:sz w:val="28"/>
          <w:szCs w:val="28"/>
        </w:rPr>
        <w:t>本次道路系统共包含</w:t>
      </w:r>
      <w:r>
        <w:rPr>
          <w:rFonts w:hint="eastAsia"/>
          <w:sz w:val="28"/>
          <w:szCs w:val="28"/>
        </w:rPr>
        <w:t>2</w:t>
      </w:r>
      <w:r>
        <w:rPr>
          <w:rFonts w:hint="eastAsia"/>
          <w:sz w:val="28"/>
          <w:szCs w:val="28"/>
        </w:rPr>
        <w:t>条城市快速路、</w:t>
      </w:r>
      <w:r>
        <w:rPr>
          <w:rFonts w:hint="eastAsia"/>
          <w:sz w:val="28"/>
          <w:szCs w:val="28"/>
        </w:rPr>
        <w:t>2</w:t>
      </w:r>
      <w:r>
        <w:rPr>
          <w:rFonts w:hint="eastAsia"/>
          <w:sz w:val="28"/>
          <w:szCs w:val="28"/>
        </w:rPr>
        <w:t>条主干道、</w:t>
      </w:r>
      <w:r>
        <w:rPr>
          <w:rFonts w:hint="eastAsia"/>
          <w:sz w:val="28"/>
          <w:szCs w:val="28"/>
        </w:rPr>
        <w:t>5</w:t>
      </w:r>
      <w:r>
        <w:rPr>
          <w:rFonts w:hint="eastAsia"/>
          <w:sz w:val="28"/>
          <w:szCs w:val="28"/>
        </w:rPr>
        <w:t>条次干路，</w:t>
      </w:r>
      <w:r>
        <w:rPr>
          <w:rFonts w:hint="eastAsia"/>
          <w:sz w:val="28"/>
          <w:szCs w:val="28"/>
        </w:rPr>
        <w:t>17</w:t>
      </w:r>
      <w:r>
        <w:rPr>
          <w:rFonts w:hint="eastAsia"/>
          <w:sz w:val="28"/>
          <w:szCs w:val="28"/>
        </w:rPr>
        <w:t>条支路。</w:t>
      </w:r>
    </w:p>
    <w:p w:rsidR="008B0EA4" w:rsidRDefault="00184BAB">
      <w:pPr>
        <w:ind w:firstLine="560"/>
        <w:rPr>
          <w:sz w:val="28"/>
          <w:szCs w:val="28"/>
        </w:rPr>
      </w:pPr>
      <w:r>
        <w:rPr>
          <w:rFonts w:hint="eastAsia"/>
          <w:sz w:val="28"/>
          <w:szCs w:val="28"/>
        </w:rPr>
        <w:t>2</w:t>
      </w:r>
      <w:r>
        <w:rPr>
          <w:rFonts w:hint="eastAsia"/>
          <w:sz w:val="28"/>
          <w:szCs w:val="28"/>
        </w:rPr>
        <w:t>条城市快速路：仰韶大道和崤函大道；</w:t>
      </w:r>
    </w:p>
    <w:p w:rsidR="008B0EA4" w:rsidRDefault="00184BAB">
      <w:pPr>
        <w:ind w:firstLine="560"/>
        <w:rPr>
          <w:sz w:val="28"/>
          <w:szCs w:val="28"/>
        </w:rPr>
      </w:pPr>
      <w:r>
        <w:rPr>
          <w:rFonts w:hint="eastAsia"/>
          <w:sz w:val="28"/>
          <w:szCs w:val="28"/>
        </w:rPr>
        <w:t>2</w:t>
      </w:r>
      <w:r>
        <w:rPr>
          <w:rFonts w:hint="eastAsia"/>
          <w:sz w:val="28"/>
          <w:szCs w:val="28"/>
        </w:rPr>
        <w:t>条主干道：上阳南路和召公路；</w:t>
      </w:r>
    </w:p>
    <w:p w:rsidR="008B0EA4" w:rsidRDefault="00184BAB">
      <w:pPr>
        <w:ind w:firstLine="560"/>
        <w:rPr>
          <w:sz w:val="28"/>
          <w:szCs w:val="28"/>
        </w:rPr>
      </w:pPr>
      <w:r>
        <w:rPr>
          <w:rFonts w:hint="eastAsia"/>
          <w:sz w:val="28"/>
          <w:szCs w:val="28"/>
        </w:rPr>
        <w:t>5</w:t>
      </w:r>
      <w:r>
        <w:rPr>
          <w:rFonts w:hint="eastAsia"/>
          <w:sz w:val="28"/>
          <w:szCs w:val="28"/>
        </w:rPr>
        <w:t>条次干路：涧南路、茅津南路、贺站路、斜桥路和东环路。</w:t>
      </w:r>
    </w:p>
    <w:p w:rsidR="008B0EA4" w:rsidRDefault="00184BAB">
      <w:pPr>
        <w:pStyle w:val="a3"/>
        <w:ind w:firstLine="480"/>
        <w:rPr>
          <w:rFonts w:cs="宋体"/>
          <w:sz w:val="28"/>
          <w:szCs w:val="28"/>
        </w:rPr>
      </w:pPr>
      <w:r>
        <w:rPr>
          <w:rFonts w:cs="宋体" w:hint="eastAsia"/>
          <w:sz w:val="28"/>
          <w:szCs w:val="28"/>
        </w:rPr>
        <w:t>表8-1  规划道路一览表</w:t>
      </w:r>
    </w:p>
    <w:tbl>
      <w:tblPr>
        <w:tblW w:w="10140" w:type="dxa"/>
        <w:jc w:val="center"/>
        <w:tblLayout w:type="fixed"/>
        <w:tblLook w:val="04A0"/>
      </w:tblPr>
      <w:tblGrid>
        <w:gridCol w:w="1156"/>
        <w:gridCol w:w="1575"/>
        <w:gridCol w:w="1650"/>
        <w:gridCol w:w="2818"/>
        <w:gridCol w:w="1622"/>
        <w:gridCol w:w="1319"/>
      </w:tblGrid>
      <w:tr w:rsidR="008B0EA4">
        <w:trPr>
          <w:trHeight w:val="662"/>
          <w:jc w:val="center"/>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textAlignment w:val="center"/>
              <w:rPr>
                <w:rFonts w:ascii="宋体" w:hAnsi="宋体" w:cs="宋体"/>
                <w:b/>
                <w:bCs/>
                <w:color w:val="000000"/>
                <w:szCs w:val="21"/>
              </w:rPr>
            </w:pPr>
            <w:r>
              <w:rPr>
                <w:rFonts w:ascii="宋体" w:hAnsi="宋体" w:cs="宋体" w:hint="eastAsia"/>
                <w:b/>
                <w:bCs/>
                <w:color w:val="000000"/>
                <w:kern w:val="0"/>
                <w:szCs w:val="21"/>
                <w:lang/>
              </w:rPr>
              <w:t>道路等级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道路名称</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红线宽度（m）</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规划区内起讫点</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长度（km）</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断面形式</w:t>
            </w:r>
          </w:p>
        </w:tc>
      </w:tr>
      <w:tr w:rsidR="008B0EA4">
        <w:trPr>
          <w:trHeight w:val="272"/>
          <w:jc w:val="center"/>
        </w:trPr>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快速路</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仰韶大道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40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上阳路——规划东边界</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6.46</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四块板</w:t>
            </w:r>
          </w:p>
        </w:tc>
      </w:tr>
      <w:tr w:rsidR="008B0EA4">
        <w:trPr>
          <w:trHeight w:val="270"/>
          <w:jc w:val="center"/>
        </w:trPr>
        <w:tc>
          <w:tcPr>
            <w:tcW w:w="11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崤函大道</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60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仰韶大道——规划南边界</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2.03</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两块板</w:t>
            </w:r>
          </w:p>
        </w:tc>
      </w:tr>
      <w:tr w:rsidR="008B0EA4">
        <w:trPr>
          <w:trHeight w:val="270"/>
          <w:jc w:val="center"/>
        </w:trPr>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主干路</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上阳南路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40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仰韶大道——召公路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0.38</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317"/>
          <w:jc w:val="center"/>
        </w:trPr>
        <w:tc>
          <w:tcPr>
            <w:tcW w:w="11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召公路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40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上阳南路——仰韶大道</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4.71</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三块板</w:t>
            </w:r>
          </w:p>
        </w:tc>
      </w:tr>
      <w:tr w:rsidR="008B0EA4">
        <w:trPr>
          <w:trHeight w:val="270"/>
          <w:jc w:val="center"/>
        </w:trPr>
        <w:tc>
          <w:tcPr>
            <w:tcW w:w="1156" w:type="dxa"/>
            <w:vMerge w:val="restart"/>
            <w:tcBorders>
              <w:top w:val="single" w:sz="4" w:space="0" w:color="000000"/>
              <w:left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次干路</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茅津南路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30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仰韶大道——召公路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0.48</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东环路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30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仰韶大道——召公路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0.25</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widowControl/>
              <w:jc w:val="center"/>
              <w:textAlignment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涧南路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上阳南路——贺站路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1.62</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贺站路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仰韶大道——召公路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0.65</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斜桥路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仰韶大道——召公路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0.29</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val="restart"/>
            <w:tcBorders>
              <w:top w:val="single" w:sz="4" w:space="0" w:color="000000"/>
              <w:left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支路</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安福街</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召公路——安平路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0.38</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冶西路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召公路——安平路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0.43</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未命名1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涧南路——安平路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0.23</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未命名2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召公路——安平路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0.49</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冶东路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召公路——安平路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0.56</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未命名3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召公路——安平路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0.56</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南工路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冶东路——仰韶大道</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1.24</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安平路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安福街——南工路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1.77</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未命名4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召公路——富宁路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0.29</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富锦街</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召公路——富宁路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0.19</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富平街</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召公路——富宁路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0.2</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富康街</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召公路——富宁路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0.14</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富宁路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富安街——召公路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2.05</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南山路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12</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召公路——三甘线</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1.62</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三甘线</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12</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仰韶大道——规划南边界</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1.24</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富安街</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12</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富宁路——斜桥路</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1.07</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一块板</w:t>
            </w:r>
          </w:p>
        </w:tc>
      </w:tr>
      <w:tr w:rsidR="008B0EA4">
        <w:trPr>
          <w:trHeight w:val="270"/>
          <w:jc w:val="center"/>
        </w:trPr>
        <w:tc>
          <w:tcPr>
            <w:tcW w:w="1156" w:type="dxa"/>
            <w:vMerge/>
            <w:tcBorders>
              <w:left w:val="single" w:sz="4" w:space="0" w:color="000000"/>
              <w:bottom w:val="single" w:sz="4" w:space="0" w:color="000000"/>
              <w:right w:val="single" w:sz="4" w:space="0" w:color="000000"/>
            </w:tcBorders>
            <w:shd w:val="clear" w:color="auto" w:fill="auto"/>
            <w:vAlign w:val="center"/>
          </w:tcPr>
          <w:p w:rsidR="008B0EA4" w:rsidRDefault="008B0EA4">
            <w:pPr>
              <w:jc w:val="center"/>
              <w:rPr>
                <w:rFonts w:ascii="宋体" w:hAnsi="宋体" w:cs="宋体"/>
                <w:color w:val="000000"/>
                <w:szCs w:val="21"/>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贺桥路</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12</w:t>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南工路——三甘线</w:t>
            </w:r>
          </w:p>
        </w:tc>
        <w:tc>
          <w:tcPr>
            <w:tcW w:w="1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0.23</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EA4" w:rsidRDefault="00184BAB">
            <w:pPr>
              <w:widowControl/>
              <w:jc w:val="center"/>
              <w:textAlignment w:val="center"/>
              <w:rPr>
                <w:rFonts w:ascii="宋体" w:eastAsia="宋体" w:hAnsi="宋体" w:cs="宋体"/>
                <w:color w:val="000000"/>
                <w:szCs w:val="21"/>
              </w:rPr>
            </w:pPr>
            <w:r>
              <w:rPr>
                <w:rFonts w:ascii="宋体" w:hAnsi="宋体" w:cs="宋体" w:hint="eastAsia"/>
                <w:color w:val="000000"/>
                <w:kern w:val="0"/>
                <w:szCs w:val="21"/>
                <w:lang/>
              </w:rPr>
              <w:t>一块板</w:t>
            </w:r>
          </w:p>
        </w:tc>
      </w:tr>
    </w:tbl>
    <w:p w:rsidR="008B0EA4" w:rsidRDefault="00184BAB">
      <w:pPr>
        <w:ind w:firstLineChars="200" w:firstLine="562"/>
        <w:rPr>
          <w:rFonts w:ascii="宋体" w:hAnsi="宋体"/>
          <w:b/>
          <w:bCs/>
          <w:sz w:val="28"/>
          <w:szCs w:val="28"/>
        </w:rPr>
      </w:pPr>
      <w:r>
        <w:rPr>
          <w:rFonts w:ascii="宋体" w:hAnsi="宋体" w:hint="eastAsia"/>
          <w:b/>
          <w:bCs/>
          <w:sz w:val="28"/>
          <w:szCs w:val="28"/>
        </w:rPr>
        <w:t>8.2公共交通场站规划</w:t>
      </w:r>
    </w:p>
    <w:p w:rsidR="008B0EA4" w:rsidRDefault="00184BAB">
      <w:pPr>
        <w:ind w:firstLine="560"/>
        <w:rPr>
          <w:sz w:val="28"/>
          <w:szCs w:val="28"/>
        </w:rPr>
      </w:pPr>
      <w:r>
        <w:rPr>
          <w:rFonts w:hint="eastAsia"/>
          <w:sz w:val="28"/>
          <w:szCs w:val="28"/>
        </w:rPr>
        <w:t>本次规划在地块的东段，富宁路以南、富康街以东规划了一处公交首末站，占地面积为</w:t>
      </w:r>
      <w:r>
        <w:rPr>
          <w:rFonts w:hint="eastAsia"/>
          <w:sz w:val="28"/>
          <w:szCs w:val="28"/>
        </w:rPr>
        <w:t>0.32</w:t>
      </w:r>
      <w:r>
        <w:rPr>
          <w:rFonts w:hint="eastAsia"/>
          <w:sz w:val="28"/>
          <w:szCs w:val="28"/>
        </w:rPr>
        <w:t>公顷。</w:t>
      </w:r>
    </w:p>
    <w:p w:rsidR="008B0EA4" w:rsidRDefault="00184BAB">
      <w:pPr>
        <w:ind w:firstLineChars="200" w:firstLine="562"/>
        <w:rPr>
          <w:rFonts w:ascii="宋体" w:hAnsi="宋体"/>
          <w:b/>
          <w:bCs/>
          <w:sz w:val="28"/>
          <w:szCs w:val="28"/>
        </w:rPr>
      </w:pPr>
      <w:r>
        <w:rPr>
          <w:rFonts w:ascii="宋体" w:hAnsi="宋体" w:hint="eastAsia"/>
          <w:b/>
          <w:bCs/>
          <w:sz w:val="28"/>
          <w:szCs w:val="28"/>
        </w:rPr>
        <w:t>8.3停车设施规划</w:t>
      </w:r>
    </w:p>
    <w:p w:rsidR="008B0EA4" w:rsidRDefault="00184BAB">
      <w:pPr>
        <w:ind w:firstLine="560"/>
        <w:rPr>
          <w:sz w:val="28"/>
          <w:szCs w:val="28"/>
        </w:rPr>
      </w:pPr>
      <w:r>
        <w:rPr>
          <w:rFonts w:hint="eastAsia"/>
          <w:sz w:val="28"/>
          <w:szCs w:val="28"/>
        </w:rPr>
        <w:t>本次共在规划区范围内设置</w:t>
      </w:r>
      <w:r>
        <w:rPr>
          <w:rFonts w:hint="eastAsia"/>
          <w:sz w:val="28"/>
          <w:szCs w:val="28"/>
        </w:rPr>
        <w:t>3</w:t>
      </w:r>
      <w:r>
        <w:rPr>
          <w:rFonts w:hint="eastAsia"/>
          <w:sz w:val="28"/>
          <w:szCs w:val="28"/>
        </w:rPr>
        <w:t>处社会停车场。按配建指标配置公共停车设施，结合绿化广场设置地下停车库。</w:t>
      </w:r>
    </w:p>
    <w:p w:rsidR="008B0EA4" w:rsidRDefault="008B0EA4">
      <w:pPr>
        <w:ind w:firstLineChars="200" w:firstLine="562"/>
        <w:rPr>
          <w:rFonts w:ascii="宋体" w:hAnsi="宋体"/>
          <w:b/>
          <w:bCs/>
          <w:sz w:val="28"/>
          <w:szCs w:val="28"/>
        </w:rPr>
      </w:pPr>
    </w:p>
    <w:sectPr w:rsidR="008B0EA4" w:rsidSect="00407E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89" w:rsidRDefault="002F4489" w:rsidP="00E10ED2">
      <w:r>
        <w:separator/>
      </w:r>
    </w:p>
  </w:endnote>
  <w:endnote w:type="continuationSeparator" w:id="0">
    <w:p w:rsidR="002F4489" w:rsidRDefault="002F4489" w:rsidP="00E10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89" w:rsidRDefault="002F4489" w:rsidP="00E10ED2">
      <w:r>
        <w:separator/>
      </w:r>
    </w:p>
  </w:footnote>
  <w:footnote w:type="continuationSeparator" w:id="0">
    <w:p w:rsidR="002F4489" w:rsidRDefault="002F4489" w:rsidP="00E10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C5865"/>
    <w:multiLevelType w:val="singleLevel"/>
    <w:tmpl w:val="3DFC5865"/>
    <w:lvl w:ilvl="0">
      <w:start w:val="1"/>
      <w:numFmt w:val="decimal"/>
      <w:suff w:val="nothing"/>
      <w:lvlText w:val="%1、"/>
      <w:lvlJc w:val="left"/>
    </w:lvl>
  </w:abstractNum>
  <w:abstractNum w:abstractNumId="1">
    <w:nsid w:val="63E3662D"/>
    <w:multiLevelType w:val="singleLevel"/>
    <w:tmpl w:val="63E3662D"/>
    <w:lvl w:ilvl="0">
      <w:start w:val="1"/>
      <w:numFmt w:val="chineseCounting"/>
      <w:suff w:val="nothing"/>
      <w:lvlText w:val="%1、"/>
      <w:lvlJc w:val="left"/>
      <w:rPr>
        <w:rFonts w:hint="eastAsia"/>
      </w:rPr>
    </w:lvl>
  </w:abstractNum>
  <w:abstractNum w:abstractNumId="2">
    <w:nsid w:val="70449439"/>
    <w:multiLevelType w:val="singleLevel"/>
    <w:tmpl w:val="70449439"/>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B0EA4"/>
    <w:rsid w:val="00184BAB"/>
    <w:rsid w:val="002F4489"/>
    <w:rsid w:val="00407E56"/>
    <w:rsid w:val="004921B6"/>
    <w:rsid w:val="008B0EA4"/>
    <w:rsid w:val="00D479C0"/>
    <w:rsid w:val="00E10ED2"/>
    <w:rsid w:val="045E0BF9"/>
    <w:rsid w:val="0BEB50F9"/>
    <w:rsid w:val="0BF334E6"/>
    <w:rsid w:val="0FD574D7"/>
    <w:rsid w:val="1DF6373A"/>
    <w:rsid w:val="23A423C5"/>
    <w:rsid w:val="24EA440C"/>
    <w:rsid w:val="284E4E9A"/>
    <w:rsid w:val="2CF36685"/>
    <w:rsid w:val="2DBD56C0"/>
    <w:rsid w:val="2FA21EAE"/>
    <w:rsid w:val="33CA0160"/>
    <w:rsid w:val="354026CC"/>
    <w:rsid w:val="388B6152"/>
    <w:rsid w:val="389D0177"/>
    <w:rsid w:val="39307C92"/>
    <w:rsid w:val="3B237671"/>
    <w:rsid w:val="44727C49"/>
    <w:rsid w:val="44FE77B2"/>
    <w:rsid w:val="47D6611B"/>
    <w:rsid w:val="49677FDF"/>
    <w:rsid w:val="4AB51CB6"/>
    <w:rsid w:val="4B0A08FC"/>
    <w:rsid w:val="4D477C69"/>
    <w:rsid w:val="509508E8"/>
    <w:rsid w:val="559742E9"/>
    <w:rsid w:val="5C636384"/>
    <w:rsid w:val="5F047F4A"/>
    <w:rsid w:val="617E58D8"/>
    <w:rsid w:val="698A1EDA"/>
    <w:rsid w:val="6E9406FB"/>
    <w:rsid w:val="6EA272EA"/>
    <w:rsid w:val="6EFD4C92"/>
    <w:rsid w:val="727A6C6D"/>
    <w:rsid w:val="7DD6371A"/>
    <w:rsid w:val="7E8A18FC"/>
    <w:rsid w:val="7F040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E5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07E56"/>
    <w:pPr>
      <w:keepNext/>
      <w:keepLines/>
      <w:spacing w:before="340" w:after="330" w:line="576" w:lineRule="auto"/>
      <w:outlineLvl w:val="0"/>
    </w:pPr>
    <w:rPr>
      <w:b/>
      <w:kern w:val="44"/>
      <w:sz w:val="44"/>
    </w:rPr>
  </w:style>
  <w:style w:type="paragraph" w:styleId="2">
    <w:name w:val="heading 2"/>
    <w:basedOn w:val="a"/>
    <w:next w:val="a"/>
    <w:unhideWhenUsed/>
    <w:qFormat/>
    <w:rsid w:val="00407E56"/>
    <w:pPr>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407E56"/>
    <w:pPr>
      <w:keepNext/>
      <w:jc w:val="center"/>
    </w:pPr>
    <w:rPr>
      <w:rFonts w:ascii="宋体" w:hAnsi="宋体" w:cs="Arial"/>
      <w:szCs w:val="20"/>
    </w:rPr>
  </w:style>
  <w:style w:type="paragraph" w:styleId="a4">
    <w:name w:val="header"/>
    <w:basedOn w:val="a"/>
    <w:link w:val="Char"/>
    <w:rsid w:val="00E10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0ED2"/>
    <w:rPr>
      <w:rFonts w:asciiTheme="minorHAnsi" w:eastAsiaTheme="minorEastAsia" w:hAnsiTheme="minorHAnsi" w:cstheme="minorBidi"/>
      <w:kern w:val="2"/>
      <w:sz w:val="18"/>
      <w:szCs w:val="18"/>
    </w:rPr>
  </w:style>
  <w:style w:type="paragraph" w:styleId="a5">
    <w:name w:val="footer"/>
    <w:basedOn w:val="a"/>
    <w:link w:val="Char0"/>
    <w:rsid w:val="00E10ED2"/>
    <w:pPr>
      <w:tabs>
        <w:tab w:val="center" w:pos="4153"/>
        <w:tab w:val="right" w:pos="8306"/>
      </w:tabs>
      <w:snapToGrid w:val="0"/>
      <w:jc w:val="left"/>
    </w:pPr>
    <w:rPr>
      <w:sz w:val="18"/>
      <w:szCs w:val="18"/>
    </w:rPr>
  </w:style>
  <w:style w:type="character" w:customStyle="1" w:styleId="Char0">
    <w:name w:val="页脚 Char"/>
    <w:basedOn w:val="a0"/>
    <w:link w:val="a5"/>
    <w:rsid w:val="00E10ED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2022-03-14T08:03:00Z</dcterms:created>
  <dcterms:modified xsi:type="dcterms:W3CDTF">2022-03-14T08:03:00Z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3D29403DB82149FFAA1CBB17346FABA9</vt:lpwstr>
  </property>
</Properties>
</file>