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三门峡市高铁南站以南片区城市设计和控制性详细规划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公示说明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一、规划范围和规模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本次规划区位于三门峡市商务中心区以南，东至熊耳路、西至甘山路、南至规划区边界、北至高铁站南广场，规划总用地面积为929.41公顷，城市建设用地面积为836.97公顷。规划范围内人口容量约为4.5万人。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二、功能定位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功能定位</w:t>
      </w:r>
      <w:r>
        <w:rPr>
          <w:rFonts w:hint="eastAsia" w:ascii="宋体" w:hAnsi="宋体"/>
          <w:sz w:val="28"/>
          <w:szCs w:val="28"/>
        </w:rPr>
        <w:t>：“ 3+1 ”可持续发展产业体系，即商业商贸产业集群、陆港物流产业集群、生产服务产业集群</w:t>
      </w:r>
      <w:r>
        <w:rPr>
          <w:rFonts w:ascii="宋体" w:hAnsi="宋体"/>
          <w:sz w:val="28"/>
          <w:szCs w:val="28"/>
        </w:rPr>
        <w:t>+</w:t>
      </w:r>
      <w:r>
        <w:rPr>
          <w:rFonts w:hint="eastAsia" w:ascii="宋体" w:hAnsi="宋体"/>
          <w:sz w:val="28"/>
          <w:szCs w:val="28"/>
        </w:rPr>
        <w:t>精英城市配套环境；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商业商贸产业集群：打造特色商业、高端商贸与休闲娱乐产业，以展促贸，以贸促业，形成良好的口碑和品牌形象；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陆港物流产业集群：面向丝绸之路的智慧物流与高端制造业产业集聚，激发未来港城互动的发展潜力；</w:t>
      </w:r>
      <w:bookmarkStart w:id="5" w:name="_GoBack"/>
      <w:bookmarkEnd w:id="5"/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生产服务产业集群：依托良好的区位优势，形成技术服务、信息服务等产业，推动传统产业升级与新型产业崛起；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精英城市配套环境：以人的需求为核心，以公共服务设施配套和商业地产为依托，按照循序渐进的原则，打造高标的城市环境品质和高阶消费设施，增强南片区对于精英人才的吸引能力。</w:t>
      </w:r>
    </w:p>
    <w:p>
      <w:pPr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/>
          <w:b/>
          <w:bCs/>
          <w:sz w:val="30"/>
          <w:szCs w:val="30"/>
        </w:rPr>
        <w:t>、规划目标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和策略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规划目标</w:t>
      </w:r>
      <w:r>
        <w:rPr>
          <w:rFonts w:hint="eastAsia"/>
          <w:sz w:val="28"/>
          <w:szCs w:val="28"/>
        </w:rPr>
        <w:t>：立足定位，规划以达到“</w:t>
      </w:r>
      <w:r>
        <w:rPr>
          <w:rFonts w:hint="eastAsia"/>
          <w:b/>
          <w:sz w:val="28"/>
          <w:szCs w:val="28"/>
        </w:rPr>
        <w:t>生态绿谷、魅力乐塬、崤函门户</w:t>
      </w:r>
      <w:r>
        <w:rPr>
          <w:rFonts w:hint="eastAsia"/>
          <w:sz w:val="28"/>
          <w:szCs w:val="28"/>
        </w:rPr>
        <w:t>”为目标。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生态绿谷</w:t>
      </w:r>
      <w:r>
        <w:rPr>
          <w:rFonts w:hint="eastAsia"/>
          <w:sz w:val="28"/>
          <w:szCs w:val="28"/>
        </w:rPr>
        <w:t>——一个高品质、人性化的开放空间；一个根植本土、生态优先的公园城市；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魅力乐塬</w:t>
      </w:r>
      <w:r>
        <w:rPr>
          <w:rFonts w:hint="eastAsia"/>
          <w:sz w:val="28"/>
          <w:szCs w:val="28"/>
        </w:rPr>
        <w:t>——一个功能复合、独具魅力的坮塬新城；一个尺度宜人、服务便利的宜居片区;</w:t>
      </w:r>
    </w:p>
    <w:p>
      <w:pPr>
        <w:snapToGrid w:val="0"/>
        <w:spacing w:line="408" w:lineRule="auto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崤函门户</w:t>
      </w:r>
      <w:r>
        <w:rPr>
          <w:rFonts w:hint="eastAsia"/>
          <w:sz w:val="28"/>
          <w:szCs w:val="28"/>
        </w:rPr>
        <w:t>——一个崤函特色、开放包容的城市门户；一个绿色高效、功能集聚的陆港中心。</w:t>
      </w:r>
    </w:p>
    <w:p>
      <w:pPr>
        <w:snapToGrid w:val="0"/>
        <w:spacing w:line="408" w:lineRule="auto"/>
        <w:ind w:firstLine="562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七个策略：</w:t>
      </w:r>
      <w:r>
        <w:rPr>
          <w:rFonts w:hint="eastAsia"/>
          <w:sz w:val="28"/>
          <w:szCs w:val="28"/>
          <w:lang w:eastAsia="zh-CN"/>
        </w:rPr>
        <w:t>弹性复合，聚功能；虚实相生，树门户；绿色智慧，筑陆港；品质活力，乐社区；道法自然，营绿谷；因势利导，塑形态；便捷高效，织路网。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/>
          <w:b/>
          <w:bCs/>
          <w:sz w:val="30"/>
          <w:szCs w:val="30"/>
        </w:rPr>
        <w:t>、空间布局结构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构建“一轴一带，双核八片”的空间布局结构；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一轴：崤函枢轴</w:t>
      </w:r>
      <w:r>
        <w:rPr>
          <w:rFonts w:hint="eastAsia"/>
          <w:sz w:val="28"/>
          <w:szCs w:val="28"/>
        </w:rPr>
        <w:t>；以迎宾大道为道路轴线，与东侧冲沟结合，布局公共服务功能，成为公共服务枢纽。与北片区结合串联多个重要城市节点，</w:t>
      </w:r>
      <w:r>
        <w:rPr>
          <w:rFonts w:hint="eastAsia"/>
          <w:sz w:val="28"/>
          <w:szCs w:val="28"/>
          <w:lang w:eastAsia="zh-CN"/>
        </w:rPr>
        <w:t>连接</w:t>
      </w:r>
      <w:r>
        <w:rPr>
          <w:rFonts w:hint="eastAsia"/>
          <w:sz w:val="28"/>
          <w:szCs w:val="28"/>
        </w:rPr>
        <w:t>黄河和甘山，成为城市重要轴线之一。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一带：生态绿带</w:t>
      </w:r>
      <w:r>
        <w:rPr>
          <w:rFonts w:hint="eastAsia"/>
          <w:sz w:val="28"/>
          <w:szCs w:val="28"/>
        </w:rPr>
        <w:t>；保留小火烧阳沟作为生态隔离带。</w:t>
      </w:r>
    </w:p>
    <w:p>
      <w:pPr>
        <w:snapToGrid w:val="0"/>
        <w:spacing w:line="408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双核：服务核心区</w:t>
      </w:r>
      <w:r>
        <w:rPr>
          <w:rFonts w:hint="eastAsia"/>
          <w:sz w:val="28"/>
          <w:szCs w:val="28"/>
        </w:rPr>
        <w:t>；迎宾大道与冲沟结合，布局各类服务功能，由对内对外两个服务中心，形成生态绿谷服务核心区。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八片</w:t>
      </w:r>
      <w:r>
        <w:rPr>
          <w:rFonts w:hint="eastAsia"/>
          <w:sz w:val="28"/>
          <w:szCs w:val="28"/>
        </w:rPr>
        <w:t>：两片综合功能片区、两片生活功能片区、两片特色功能片区、一片教育功能片区、一片物流功能片区。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、用地构成</w:t>
      </w:r>
    </w:p>
    <w:p>
      <w:pPr>
        <w:snapToGrid w:val="0"/>
        <w:spacing w:line="408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南片区城市建设用地总面积为836.98公顷，包括居住用地（R）、公共管理与公共服务设施用地（A）、商业服务业设施用地（B）、物流仓储用地（W）、道路与交通设施用地（S）、公共设施用地（U）、绿地与广场用地（G）七个大类。除此之外，军事用地面积46.50公顷，铁路用地面积45.94公顷。规划范围内总用地面积929.41公顷。具体指标详见表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ascii="宋体" w:hAnsi="宋体"/>
          <w:sz w:val="28"/>
          <w:szCs w:val="28"/>
        </w:rPr>
        <w:t>-1.</w:t>
      </w:r>
    </w:p>
    <w:p>
      <w:pPr>
        <w:snapToGrid w:val="0"/>
        <w:spacing w:line="408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-1  城乡建设用地平衡表</w:t>
      </w:r>
    </w:p>
    <w:tbl>
      <w:tblPr>
        <w:tblStyle w:val="4"/>
        <w:tblW w:w="94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1"/>
        <w:gridCol w:w="1161"/>
        <w:gridCol w:w="2709"/>
        <w:gridCol w:w="1548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4" w:type="dxa"/>
            <w:gridSpan w:val="3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用地代码</w:t>
            </w:r>
          </w:p>
        </w:tc>
        <w:tc>
          <w:tcPr>
            <w:tcW w:w="2709" w:type="dxa"/>
            <w:vMerge w:val="restart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用地名称</w:t>
            </w:r>
          </w:p>
        </w:tc>
        <w:tc>
          <w:tcPr>
            <w:tcW w:w="1548" w:type="dxa"/>
            <w:vMerge w:val="restart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用地面积（ha）</w:t>
            </w:r>
          </w:p>
        </w:tc>
        <w:tc>
          <w:tcPr>
            <w:tcW w:w="1984" w:type="dxa"/>
            <w:vMerge w:val="restart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占城市用地比例(%)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大类</w:t>
            </w:r>
          </w:p>
        </w:tc>
        <w:tc>
          <w:tcPr>
            <w:tcW w:w="1161" w:type="dxa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中类</w:t>
            </w:r>
          </w:p>
        </w:tc>
        <w:tc>
          <w:tcPr>
            <w:tcW w:w="1161" w:type="dxa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小类</w:t>
            </w:r>
          </w:p>
        </w:tc>
        <w:tc>
          <w:tcPr>
            <w:tcW w:w="2709" w:type="dxa"/>
            <w:vMerge w:val="continue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8" w:type="dxa"/>
            <w:vMerge w:val="continue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shd w:val="clear" w:color="auto" w:fill="D9D9D9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R2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二类居住用地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34</w:t>
            </w:r>
            <w:r>
              <w:rPr>
                <w:rFonts w:hint="eastAsia" w:ascii="宋体" w:hAnsi="宋体"/>
                <w:szCs w:val="21"/>
              </w:rPr>
              <w:t>．3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16.36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2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行政办公用地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2.89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A22</w:t>
            </w: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文化设施用地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9.08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A33</w:t>
            </w: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中小学用地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22.67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2.7</w:t>
            </w:r>
            <w:r>
              <w:rPr>
                <w:rFonts w:ascii="宋体" w:hAnsi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A35</w:t>
            </w: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25.45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A4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8.44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A5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A51</w:t>
            </w: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医院用地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5.62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</w:t>
            </w:r>
            <w:r>
              <w:rPr>
                <w:rFonts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A6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  <w:vAlign w:val="center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社会福利用地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10.53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1" w:type="dxa"/>
            <w:gridSpan w:val="3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84.68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</w:t>
            </w:r>
            <w:r>
              <w:rPr>
                <w:rFonts w:ascii="宋体" w:hAnsi="宋体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商业用地</w:t>
            </w:r>
          </w:p>
        </w:tc>
        <w:tc>
          <w:tcPr>
            <w:tcW w:w="1548" w:type="dxa"/>
            <w:vAlign w:val="center"/>
          </w:tcPr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30.68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商务用地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9.93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B31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娱乐用地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19.53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2.3</w:t>
            </w:r>
            <w:r>
              <w:rPr>
                <w:rFonts w:ascii="宋体" w:hAnsi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B41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加油加气站用地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B9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其他服务设施用地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31.54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ascii="宋体" w:hAnsi="宋体"/>
                <w:szCs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1" w:type="dxa"/>
            <w:gridSpan w:val="3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100.1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一类工业用地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45.16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W1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ind w:firstLine="35" w:firstLineChars="17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一类物流仓储用地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56.37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</w:t>
            </w:r>
            <w:r>
              <w:rPr>
                <w:rFonts w:ascii="宋体" w:hAnsi="宋体"/>
                <w:szCs w:val="21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城市道路用地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205.82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S3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交通枢纽用地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7.11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S4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S41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公共交通场站用地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3.64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S42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社会停车场用地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11.12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</w:t>
            </w:r>
            <w:r>
              <w:rPr>
                <w:rFonts w:ascii="宋体" w:hAnsi="宋体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1" w:type="dxa"/>
            <w:gridSpan w:val="3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227.69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27.</w:t>
            </w:r>
            <w:r>
              <w:rPr>
                <w:rFonts w:ascii="宋体" w:hAnsi="宋体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</w:t>
            </w:r>
          </w:p>
        </w:tc>
        <w:tc>
          <w:tcPr>
            <w:tcW w:w="1161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供水用地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1.38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0.1</w:t>
            </w:r>
            <w:r>
              <w:rPr>
                <w:rFonts w:ascii="宋体" w:hAnsi="宋体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U12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供电用地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0.52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U15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U22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环卫用地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0.41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U3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U31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0.56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1" w:type="dxa"/>
            <w:gridSpan w:val="3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= sum(E28:E32) \* MERGEFORMAT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3.38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fldChar w:fldCharType="begin"/>
            </w:r>
            <w:r>
              <w:rPr>
                <w:rFonts w:hint="eastAsia" w:ascii="宋体" w:hAnsi="宋体"/>
                <w:szCs w:val="21"/>
              </w:rPr>
              <w:instrText xml:space="preserve"> = sum(F28:F32) \* MERGEFORMAT </w:instrText>
            </w:r>
            <w:r>
              <w:rPr>
                <w:rFonts w:hint="eastAsia" w:ascii="宋体" w:hAnsi="宋体"/>
                <w:szCs w:val="21"/>
              </w:rPr>
              <w:fldChar w:fldCharType="separate"/>
            </w:r>
            <w:r>
              <w:rPr>
                <w:rFonts w:hint="eastAsia" w:ascii="宋体" w:hAnsi="宋体"/>
                <w:szCs w:val="21"/>
              </w:rPr>
              <w:t>0.4</w:t>
            </w:r>
            <w:r>
              <w:rPr>
                <w:rFonts w:hint="eastAsia" w:ascii="宋体" w:hAnsi="宋体"/>
                <w:szCs w:val="21"/>
              </w:rPr>
              <w:fldChar w:fldCharType="end"/>
            </w:r>
            <w:r>
              <w:rPr>
                <w:rFonts w:ascii="宋体" w:hAnsi="宋体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restart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G1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公园绿地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111.82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13.</w:t>
            </w:r>
            <w:r>
              <w:rPr>
                <w:rFonts w:ascii="宋体" w:hAnsi="宋体"/>
                <w:szCs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防护绿地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.44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ascii="宋体" w:hAnsi="宋体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G3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广场用地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22.40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31" w:type="dxa"/>
            <w:gridSpan w:val="3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69</w:t>
            </w:r>
            <w:r>
              <w:rPr>
                <w:rFonts w:hint="eastAsia" w:ascii="宋体" w:hAnsi="宋体"/>
                <w:szCs w:val="21"/>
              </w:rPr>
              <w:t>.66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20.</w:t>
            </w:r>
            <w:r>
              <w:rPr>
                <w:rFonts w:ascii="宋体" w:hAnsi="宋体"/>
                <w:szCs w:val="21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  <w:gridSpan w:val="4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城市建设用地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hint="eastAsia" w:ascii="宋体" w:hAnsi="宋体"/>
                <w:szCs w:val="21"/>
              </w:rPr>
              <w:t>．3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H2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H21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铁路用地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45.94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H4</w:t>
            </w:r>
          </w:p>
        </w:tc>
        <w:tc>
          <w:tcPr>
            <w:tcW w:w="1161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H41</w:t>
            </w:r>
          </w:p>
        </w:tc>
        <w:tc>
          <w:tcPr>
            <w:tcW w:w="2709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军事用地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62</w:t>
            </w:r>
            <w:r>
              <w:rPr>
                <w:rFonts w:hint="eastAsia" w:ascii="宋体" w:hAnsi="宋体"/>
                <w:szCs w:val="21"/>
              </w:rPr>
              <w:t>．0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13" w:type="dxa"/>
            <w:gridSpan w:val="4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548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929.41</w:t>
            </w:r>
          </w:p>
        </w:tc>
        <w:tc>
          <w:tcPr>
            <w:tcW w:w="1984" w:type="dxa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、规划指标体系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</w:rPr>
        <w:t>.1</w:t>
      </w:r>
      <w:r>
        <w:rPr>
          <w:rFonts w:hint="eastAsia" w:ascii="宋体" w:hAnsi="宋体"/>
          <w:b/>
          <w:bCs/>
          <w:sz w:val="28"/>
          <w:szCs w:val="28"/>
        </w:rPr>
        <w:t>容积率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规划区居住用地容积率≤1.9；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公共管理与公共服务用地：文化设施用地容积率≤1.5；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教育科研用地中的高等院校用地容积率≤2.0，中小学用地容积率≤0.9；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医疗卫生用地容积率≤</w:t>
      </w:r>
      <w:r>
        <w:rPr>
          <w:rFonts w:ascii="宋体" w:hAnsi="宋体"/>
          <w:sz w:val="28"/>
          <w:szCs w:val="28"/>
        </w:rPr>
        <w:t>2.0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商业服务业设施用地：高铁南站以南片区内商业用地容积率≤</w:t>
      </w:r>
      <w:r>
        <w:rPr>
          <w:rFonts w:ascii="宋体" w:hAnsi="宋体"/>
          <w:sz w:val="28"/>
          <w:szCs w:val="28"/>
        </w:rPr>
        <w:t>3.5</w:t>
      </w:r>
      <w:r>
        <w:rPr>
          <w:rFonts w:hint="eastAsia" w:ascii="宋体" w:hAnsi="宋体"/>
          <w:sz w:val="28"/>
          <w:szCs w:val="28"/>
        </w:rPr>
        <w:t>，商务用地容积率≤4.5；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其他公用设施用地均按国家有关规范控制其开发强度。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</w:rPr>
        <w:t>.2</w:t>
      </w:r>
      <w:r>
        <w:rPr>
          <w:rFonts w:hint="eastAsia" w:ascii="宋体" w:hAnsi="宋体"/>
          <w:b/>
          <w:bCs/>
          <w:sz w:val="28"/>
          <w:szCs w:val="28"/>
        </w:rPr>
        <w:t>建筑高度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0" w:name="_Toc454441481"/>
      <w:r>
        <w:rPr>
          <w:rFonts w:hint="eastAsia" w:ascii="宋体" w:hAnsi="宋体"/>
          <w:sz w:val="28"/>
          <w:szCs w:val="28"/>
        </w:rPr>
        <w:t>结合城市功能布局和开发强度对建筑高度进行控制。</w:t>
      </w:r>
      <w:bookmarkEnd w:id="0"/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1" w:name="_Toc454441482"/>
      <w:r>
        <w:rPr>
          <w:rFonts w:hint="eastAsia" w:ascii="宋体" w:hAnsi="宋体"/>
          <w:sz w:val="28"/>
          <w:szCs w:val="28"/>
        </w:rPr>
        <w:t>1、多层控制区：主要集中在三盘路以南地块，建筑高度控制在27米</w:t>
      </w:r>
      <w:bookmarkEnd w:id="1"/>
      <w:bookmarkStart w:id="2" w:name="_Toc454441483"/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2、混合控制区：</w:t>
      </w:r>
      <w:bookmarkEnd w:id="2"/>
      <w:r>
        <w:rPr>
          <w:rFonts w:hint="eastAsia" w:ascii="宋体" w:hAnsi="宋体"/>
          <w:sz w:val="28"/>
          <w:szCs w:val="28"/>
        </w:rPr>
        <w:t>主要集中在三盘路以北、蔡月路以南地块，小高层建筑高度控制在</w:t>
      </w:r>
      <w:r>
        <w:rPr>
          <w:rFonts w:ascii="宋体" w:hAnsi="宋体"/>
          <w:sz w:val="28"/>
          <w:szCs w:val="28"/>
        </w:rPr>
        <w:t>40</w:t>
      </w:r>
      <w:r>
        <w:rPr>
          <w:rFonts w:hint="eastAsia" w:ascii="宋体" w:hAnsi="宋体"/>
          <w:sz w:val="28"/>
          <w:szCs w:val="28"/>
        </w:rPr>
        <w:t>米；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bookmarkStart w:id="3" w:name="_Toc454441484"/>
      <w:r>
        <w:rPr>
          <w:rFonts w:hint="eastAsia" w:ascii="宋体" w:hAnsi="宋体"/>
          <w:sz w:val="28"/>
          <w:szCs w:val="28"/>
        </w:rPr>
        <w:t>3、小高层控制区：主要集中在蔡月路以北区域，建筑高度大部分控制在</w:t>
      </w:r>
      <w:r>
        <w:rPr>
          <w:rFonts w:ascii="宋体" w:hAnsi="宋体"/>
          <w:sz w:val="28"/>
          <w:szCs w:val="28"/>
        </w:rPr>
        <w:t>40</w:t>
      </w:r>
      <w:r>
        <w:rPr>
          <w:rFonts w:hint="eastAsia" w:ascii="宋体" w:hAnsi="宋体"/>
          <w:sz w:val="28"/>
          <w:szCs w:val="28"/>
        </w:rPr>
        <w:t>米，局部控制在6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米；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4、高层控制区：主要为商业核心区和商务区，考虑到核心商务区的空间设计和景观效应，最高建筑控制在100米。</w:t>
      </w:r>
      <w:bookmarkEnd w:id="3"/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</w:rPr>
        <w:t>.3</w:t>
      </w:r>
      <w:r>
        <w:rPr>
          <w:rFonts w:hint="eastAsia" w:ascii="宋体" w:hAnsi="宋体"/>
          <w:b/>
          <w:bCs/>
          <w:sz w:val="28"/>
          <w:szCs w:val="28"/>
        </w:rPr>
        <w:t>建筑密度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规划区居住用地建筑密度≤35%；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公共管理与公共服务用地：文化设施用地建筑密≤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%；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教育科研用地中的高等院校用地建筑密度≤30%，中小学用地建筑密度≤30%；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医疗卫生用地建筑密度≤3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%；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商业服务业设施用地：高铁南站以南片区内商业用地建筑密度≤</w:t>
      </w:r>
      <w:r>
        <w:rPr>
          <w:rFonts w:ascii="宋体" w:hAnsi="宋体"/>
          <w:sz w:val="28"/>
          <w:szCs w:val="28"/>
        </w:rPr>
        <w:t>45</w:t>
      </w:r>
      <w:r>
        <w:rPr>
          <w:rFonts w:hint="eastAsia" w:ascii="宋体" w:hAnsi="宋体"/>
          <w:sz w:val="28"/>
          <w:szCs w:val="28"/>
        </w:rPr>
        <w:t>%，商务用地建筑密度≤45%。</w:t>
      </w:r>
    </w:p>
    <w:p>
      <w:pPr>
        <w:ind w:firstLine="56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其他公用设施用地均按国家有关规范控制其开发强度。</w:t>
      </w:r>
    </w:p>
    <w:p>
      <w:pPr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ascii="宋体" w:hAnsi="宋体"/>
          <w:b/>
          <w:bCs/>
          <w:sz w:val="28"/>
          <w:szCs w:val="28"/>
        </w:rPr>
        <w:t>.4</w:t>
      </w:r>
      <w:r>
        <w:rPr>
          <w:rFonts w:hint="eastAsia" w:ascii="宋体" w:hAnsi="宋体"/>
          <w:b/>
          <w:bCs/>
          <w:sz w:val="28"/>
          <w:szCs w:val="28"/>
        </w:rPr>
        <w:t>绿地率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为提升居住小区环境品质，规划区居住用地绿地率≥35%；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文化设施用地绿地率≥</w:t>
      </w:r>
      <w:r>
        <w:rPr>
          <w:rFonts w:ascii="宋体" w:hAnsi="宋体"/>
          <w:sz w:val="28"/>
          <w:szCs w:val="28"/>
        </w:rPr>
        <w:t>40%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教育科用地绿地率≥3</w:t>
      </w:r>
      <w:r>
        <w:rPr>
          <w:rFonts w:ascii="宋体" w:hAnsi="宋体"/>
          <w:sz w:val="28"/>
          <w:szCs w:val="28"/>
        </w:rPr>
        <w:t>5%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医疗卫生用地绿地率</w:t>
      </w:r>
      <w:bookmarkStart w:id="4" w:name="_Hlk63182593"/>
      <w:r>
        <w:rPr>
          <w:rFonts w:hint="eastAsia" w:ascii="宋体" w:hAnsi="宋体"/>
          <w:sz w:val="28"/>
          <w:szCs w:val="28"/>
        </w:rPr>
        <w:t>≥35%</w:t>
      </w:r>
      <w:bookmarkEnd w:id="4"/>
      <w:r>
        <w:rPr>
          <w:rFonts w:hint="eastAsia" w:ascii="宋体" w:hAnsi="宋体"/>
          <w:sz w:val="28"/>
          <w:szCs w:val="28"/>
        </w:rPr>
        <w:t>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商业服务业设施用地绿地率≥</w:t>
      </w:r>
      <w:r>
        <w:rPr>
          <w:rFonts w:ascii="宋体" w:hAnsi="宋体"/>
          <w:sz w:val="28"/>
          <w:szCs w:val="28"/>
        </w:rPr>
        <w:t>15%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七</w:t>
      </w:r>
      <w:r>
        <w:rPr>
          <w:rFonts w:hint="eastAsia" w:ascii="宋体" w:hAnsi="宋体"/>
          <w:b/>
          <w:bCs/>
          <w:sz w:val="30"/>
          <w:szCs w:val="30"/>
        </w:rPr>
        <w:t>、公共服务设施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本次规划公共服务设施按照生活圈理念，形成了4个十分钟生活圈和9个五分钟生活圈。</w:t>
      </w:r>
    </w:p>
    <w:p>
      <w:pPr>
        <w:ind w:firstLine="560" w:firstLineChars="200"/>
        <w:rPr>
          <w:sz w:val="24"/>
        </w:rPr>
      </w:pPr>
      <w:r>
        <w:rPr>
          <w:rFonts w:hint="eastAsia" w:ascii="宋体" w:hAnsi="宋体"/>
          <w:sz w:val="28"/>
          <w:szCs w:val="28"/>
        </w:rPr>
        <w:t>十分钟生活圈采用高效合理的小街坊、高密度路网方式规划布局，主要包含教育设施、交通服务设施、综合医院、文化设施、养老服务中心、体育活动中心和消防站。五分钟生活圈以生活街道、开敞绿地为布局基准点，混合布置各类服务功能，主要包含社区医院、社区养老院、农贸市场、文化活动站等公共服务设施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.1</w:t>
      </w:r>
      <w:r>
        <w:rPr>
          <w:rFonts w:hint="eastAsia" w:ascii="宋体" w:hAnsi="宋体"/>
          <w:b/>
          <w:bCs/>
          <w:sz w:val="28"/>
          <w:szCs w:val="28"/>
        </w:rPr>
        <w:t>教育设施规划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1、中学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规划区设置寄宿制高中1所，服务于周边区域及高铁南片区；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初中1所，服务半径约1000m。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2、小学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规划区按十分钟生活圈，规划小学共计4所，每所小学服务半径约 500m。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3、幼儿园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规划区按五分钟生活圈，规划共设置幼儿园9所，每所幼儿园服务半径约300m。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.2</w:t>
      </w:r>
      <w:r>
        <w:rPr>
          <w:rFonts w:hint="eastAsia" w:ascii="宋体" w:hAnsi="宋体"/>
          <w:b/>
          <w:bCs/>
          <w:sz w:val="28"/>
          <w:szCs w:val="28"/>
        </w:rPr>
        <w:t>医疗卫生设施</w:t>
      </w:r>
    </w:p>
    <w:p>
      <w:pPr>
        <w:snapToGrid w:val="0"/>
        <w:spacing w:line="408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本次规划医院规模按照5床/千人标准设置，则医院规模为800床。</w:t>
      </w:r>
    </w:p>
    <w:p>
      <w:pPr>
        <w:snapToGrid w:val="0"/>
        <w:spacing w:line="408" w:lineRule="auto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规划南片区设置了2处医院用地，1所综合医院，位于启航路以南、金谷西路以东，位于B-5-02地块，用地面积6.58公顷，医院规模约为600床，主要承担整个城区的卫生医疗设施等；1所专科医院，位于汉山路以东、灵湖路以北，位于D-3-03地块，用地规模2.40公顷，医院规模约为200床，主要承担南片区的卫生医疗设施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.3</w:t>
      </w:r>
      <w:r>
        <w:rPr>
          <w:rFonts w:hint="eastAsia" w:ascii="宋体" w:hAnsi="宋体"/>
          <w:b/>
          <w:bCs/>
          <w:sz w:val="28"/>
          <w:szCs w:val="28"/>
        </w:rPr>
        <w:t>社会福利设施</w:t>
      </w:r>
    </w:p>
    <w:p>
      <w:pPr>
        <w:snapToGrid w:val="0"/>
        <w:spacing w:line="40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本次规划南片区共设置5 处社会福利院，用地面积为10.53公顷，其中4处主要用于老年人的养老、疗养等。1处为社会福利院。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.4</w:t>
      </w:r>
      <w:r>
        <w:rPr>
          <w:rFonts w:hint="eastAsia" w:ascii="宋体" w:hAnsi="宋体"/>
          <w:b/>
          <w:bCs/>
          <w:sz w:val="28"/>
          <w:szCs w:val="28"/>
        </w:rPr>
        <w:t>文化设施</w:t>
      </w:r>
    </w:p>
    <w:p>
      <w:pPr>
        <w:snapToGrid w:val="0"/>
        <w:spacing w:line="40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规划南片区共规划2处文化设施用地，在迎宾大道以东，崤函大道以北A -16-02地块规划了一处综合文化活动场馆，用地面积8.55公顷；结合绿地在迎宾大道以东，蔡月路以北A -22-02地块规划了一处文化活动中心，用地面积0.53公顷。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ascii="宋体" w:hAnsi="宋体"/>
          <w:b/>
          <w:bCs/>
          <w:sz w:val="28"/>
          <w:szCs w:val="28"/>
        </w:rPr>
        <w:t>.5</w:t>
      </w:r>
      <w:r>
        <w:rPr>
          <w:rFonts w:hint="eastAsia" w:ascii="宋体" w:hAnsi="宋体"/>
          <w:b/>
          <w:bCs/>
          <w:sz w:val="28"/>
          <w:szCs w:val="28"/>
        </w:rPr>
        <w:t>体育设施</w:t>
      </w:r>
    </w:p>
    <w:p>
      <w:pPr>
        <w:snapToGrid w:val="0"/>
        <w:spacing w:line="40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规划南片区设置体育中心一处，以十分钟生活圈理念，结合公园绿化配套设置体育运动场地四处，实现周边居民 5 分钟内可到达活动的目标。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八</w:t>
      </w:r>
      <w:r>
        <w:rPr>
          <w:rFonts w:hint="eastAsia" w:ascii="宋体" w:hAnsi="宋体"/>
          <w:b/>
          <w:bCs/>
          <w:sz w:val="30"/>
          <w:szCs w:val="30"/>
        </w:rPr>
        <w:t>、景观绿地规划</w:t>
      </w:r>
    </w:p>
    <w:p>
      <w:pPr>
        <w:snapToGrid w:val="0"/>
        <w:spacing w:line="40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本次规划景观结构的生态系统分为“</w:t>
      </w:r>
      <w:r>
        <w:rPr>
          <w:sz w:val="28"/>
          <w:szCs w:val="28"/>
        </w:rPr>
        <w:t>绿轴</w:t>
      </w:r>
      <w:r>
        <w:rPr>
          <w:rFonts w:hint="eastAsia"/>
          <w:sz w:val="28"/>
          <w:szCs w:val="28"/>
        </w:rPr>
        <w:t>—绿带—绿环—绿廊—绿园”。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ascii="宋体" w:hAnsi="宋体" w:eastAsia="宋体" w:cs="Times New Roman"/>
          <w:color w:val="auto"/>
          <w:sz w:val="28"/>
          <w:szCs w:val="28"/>
        </w:rPr>
        <w:t>绿轴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—城市活力谷：以冲沟作为公共空间、城市景观、海绵湿地、街区公园。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绿带—城市冲沟公园：修复坮塬冲沟，加固冲沟，增加植被，营建坮塬城市公园；因地制宜，依据等高线密集程度，分区设计独特景观要素，打造立体坮塬景观；规划沟通廊道，将绿带渗透城区，提升片区人居环境和活力；利用水循环管理，提高雨水再利用效率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绿环—城市生态农业公园：利用现状农业资源，打造城市农业，发展生态经济。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绿廊—城市线型景观公园：串联城市功能区，设置防护、通行、生活廊道，构建完整景观结构。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绿园—城市片状景观公园：布局文化体育设施，丰富景观功能，提倡健康生活，增添片区活力。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规划范围内绿地与广场用地面积171.66公顷，占城市建设用地面积的20.51</w:t>
      </w:r>
      <w:r>
        <w:rPr>
          <w:rFonts w:ascii="宋体" w:hAnsi="宋体" w:eastAsia="宋体" w:cs="Times New Roman"/>
          <w:color w:val="auto"/>
          <w:sz w:val="28"/>
          <w:szCs w:val="28"/>
        </w:rPr>
        <w:t>%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。其中，公园绿地面积111.82公顷，防护绿地面积37.44公顷，广场用地22.40公顷。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按照级别和使用功能，规划范围内绿地共分为两大类：公园绿地、防护绿地。遵循均匀分布、便于使用的原则，考虑公园绿地合理的服务半径。居住区级公园服务半径</w:t>
      </w:r>
      <w:r>
        <w:rPr>
          <w:rFonts w:ascii="宋体" w:hAnsi="宋体" w:eastAsia="宋体" w:cs="Times New Roman"/>
          <w:color w:val="auto"/>
          <w:sz w:val="28"/>
          <w:szCs w:val="28"/>
        </w:rPr>
        <w:t>1000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米，小型绿地为</w:t>
      </w:r>
      <w:r>
        <w:rPr>
          <w:rFonts w:ascii="宋体" w:hAnsi="宋体" w:eastAsia="宋体" w:cs="Times New Roman"/>
          <w:color w:val="auto"/>
          <w:sz w:val="28"/>
          <w:szCs w:val="28"/>
        </w:rPr>
        <w:t>300-500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米。</w:t>
      </w:r>
    </w:p>
    <w:p>
      <w:pPr>
        <w:pStyle w:val="6"/>
        <w:spacing w:line="408" w:lineRule="auto"/>
        <w:ind w:firstLine="560" w:firstLineChars="200"/>
        <w:rPr>
          <w:rFonts w:ascii="宋体" w:hAnsi="宋体" w:eastAsia="宋体" w:cs="Times New Roman"/>
          <w:color w:val="auto"/>
          <w:sz w:val="28"/>
          <w:szCs w:val="28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</w:rPr>
        <w:t>防护绿地主要沿崤函大道、大岭南路两侧设置，宽度为20米；沿甘山路、熊耳路单侧设置，宽度为15米；沿铁路线两侧设置，宽度为30-50米。</w:t>
      </w:r>
    </w:p>
    <w:p>
      <w:pPr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九</w:t>
      </w:r>
      <w:r>
        <w:rPr>
          <w:rFonts w:hint="eastAsia" w:ascii="宋体" w:hAnsi="宋体"/>
          <w:b/>
          <w:bCs/>
          <w:sz w:val="30"/>
          <w:szCs w:val="30"/>
        </w:rPr>
        <w:t>、道路交通系统规划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bCs/>
          <w:sz w:val="28"/>
          <w:szCs w:val="28"/>
        </w:rPr>
        <w:t>.1</w:t>
      </w:r>
      <w:r>
        <w:rPr>
          <w:rFonts w:hint="eastAsia" w:ascii="宋体" w:hAnsi="宋体"/>
          <w:b/>
          <w:bCs/>
          <w:sz w:val="28"/>
          <w:szCs w:val="28"/>
        </w:rPr>
        <w:t>交通枢纽规划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交通枢纽分为铁路枢纽和公路枢纽。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铁路枢纽主要为郑西高铁南站客运站、陇海铁路三门峡客、货运站及三禹铁路货运站；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公路枢纽主要为公路长途客运站，位于甘山路东，淇河路以北。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bCs/>
          <w:sz w:val="28"/>
          <w:szCs w:val="28"/>
        </w:rPr>
        <w:t>.2</w:t>
      </w:r>
      <w:r>
        <w:rPr>
          <w:rFonts w:hint="eastAsia" w:ascii="宋体" w:hAnsi="宋体"/>
          <w:b/>
          <w:bCs/>
          <w:sz w:val="28"/>
          <w:szCs w:val="28"/>
        </w:rPr>
        <w:t>道路系统规划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规划形成了“一横三纵”的主干道路骨架：“一横”自西向东的崤函大道；“三纵”自北向南分别为甘山路、迎宾大道和大岭南路。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规划范围内城市道路分主干路、次干路、支路三级设置：</w:t>
      </w:r>
    </w:p>
    <w:p>
      <w:pPr>
        <w:snapToGrid w:val="0"/>
        <w:spacing w:line="408" w:lineRule="auto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表1  道路信息一览表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041"/>
        <w:gridCol w:w="1588"/>
        <w:gridCol w:w="181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shd w:val="clear" w:color="auto" w:fill="D9D9D9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041" w:type="dxa"/>
            <w:shd w:val="clear" w:color="auto" w:fill="D9D9D9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道路名称</w:t>
            </w:r>
          </w:p>
        </w:tc>
        <w:tc>
          <w:tcPr>
            <w:tcW w:w="1588" w:type="dxa"/>
            <w:shd w:val="clear" w:color="auto" w:fill="D9D9D9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道路等级</w:t>
            </w:r>
          </w:p>
        </w:tc>
        <w:tc>
          <w:tcPr>
            <w:tcW w:w="1815" w:type="dxa"/>
            <w:shd w:val="clear" w:color="auto" w:fill="D9D9D9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走向</w:t>
            </w:r>
          </w:p>
        </w:tc>
        <w:tc>
          <w:tcPr>
            <w:tcW w:w="2042" w:type="dxa"/>
            <w:shd w:val="clear" w:color="auto" w:fill="D9D9D9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红线宽度（米）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崤函大道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甘山路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迎宾大道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大岭南路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金谷西路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汉山路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熊耳路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淇河路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洪阳路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启航路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莲昌路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国威路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蔡月路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三盘路西段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灌河路东段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河口路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次干道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石河路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韶山路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鳌山路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清水路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岘山路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燕山路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灵湖路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三盘路东段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东西向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清源山路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黄顶路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金山路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041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响屏路</w:t>
            </w:r>
          </w:p>
        </w:tc>
        <w:tc>
          <w:tcPr>
            <w:tcW w:w="1588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支路</w:t>
            </w:r>
          </w:p>
        </w:tc>
        <w:tc>
          <w:tcPr>
            <w:tcW w:w="1815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南北向</w:t>
            </w:r>
          </w:p>
        </w:tc>
        <w:tc>
          <w:tcPr>
            <w:tcW w:w="2042" w:type="dxa"/>
          </w:tcPr>
          <w:p>
            <w:pPr>
              <w:snapToGrid w:val="0"/>
              <w:spacing w:line="40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</w:tr>
    </w:tbl>
    <w:p>
      <w:pPr>
        <w:ind w:left="562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bCs/>
          <w:sz w:val="28"/>
          <w:szCs w:val="28"/>
        </w:rPr>
        <w:t>.3</w:t>
      </w:r>
      <w:r>
        <w:rPr>
          <w:rFonts w:hint="eastAsia" w:ascii="宋体" w:hAnsi="宋体"/>
          <w:b/>
          <w:bCs/>
          <w:sz w:val="28"/>
          <w:szCs w:val="28"/>
        </w:rPr>
        <w:t>公共交通场站规划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本次规划公共交通场站用地3处。其中1处公交首末站，1处公交换乘站，一处公交停保站。</w:t>
      </w:r>
    </w:p>
    <w:p>
      <w:pPr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9</w:t>
      </w:r>
      <w:r>
        <w:rPr>
          <w:rFonts w:ascii="宋体" w:hAnsi="宋体"/>
          <w:b/>
          <w:bCs/>
          <w:sz w:val="28"/>
          <w:szCs w:val="28"/>
        </w:rPr>
        <w:t>.4</w:t>
      </w:r>
      <w:r>
        <w:rPr>
          <w:rFonts w:hint="eastAsia" w:ascii="宋体" w:hAnsi="宋体"/>
          <w:b/>
          <w:bCs/>
          <w:sz w:val="28"/>
          <w:szCs w:val="28"/>
        </w:rPr>
        <w:t>停车设施规划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在各级公共服务中心周边设置四处社会停车场，按配建指标配置公共停车设施，结合绿化广场设置地下停车库。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1"/>
    <w:rsid w:val="00004ADC"/>
    <w:rsid w:val="00323CE2"/>
    <w:rsid w:val="0035374F"/>
    <w:rsid w:val="00356961"/>
    <w:rsid w:val="00370335"/>
    <w:rsid w:val="005D0420"/>
    <w:rsid w:val="006D020A"/>
    <w:rsid w:val="00775345"/>
    <w:rsid w:val="007C54D9"/>
    <w:rsid w:val="00830676"/>
    <w:rsid w:val="008D213E"/>
    <w:rsid w:val="009403B5"/>
    <w:rsid w:val="009757BF"/>
    <w:rsid w:val="00AB2043"/>
    <w:rsid w:val="00AE6D3F"/>
    <w:rsid w:val="00BE21AB"/>
    <w:rsid w:val="00D87082"/>
    <w:rsid w:val="00DA4011"/>
    <w:rsid w:val="00F623B5"/>
    <w:rsid w:val="035754A4"/>
    <w:rsid w:val="05230801"/>
    <w:rsid w:val="0C604822"/>
    <w:rsid w:val="0D803ECE"/>
    <w:rsid w:val="13AE7F25"/>
    <w:rsid w:val="1487330F"/>
    <w:rsid w:val="197502B5"/>
    <w:rsid w:val="1A3734E0"/>
    <w:rsid w:val="25B249DA"/>
    <w:rsid w:val="266D2349"/>
    <w:rsid w:val="2C6929EB"/>
    <w:rsid w:val="30305886"/>
    <w:rsid w:val="303935E8"/>
    <w:rsid w:val="364F5314"/>
    <w:rsid w:val="3A345167"/>
    <w:rsid w:val="3F011CA0"/>
    <w:rsid w:val="4E137323"/>
    <w:rsid w:val="59E077E3"/>
    <w:rsid w:val="5C9C3177"/>
    <w:rsid w:val="61A77041"/>
    <w:rsid w:val="6575704B"/>
    <w:rsid w:val="66AD3EBD"/>
    <w:rsid w:val="7BCE06C2"/>
    <w:rsid w:val="7E83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726</Words>
  <Characters>4140</Characters>
  <Lines>34</Lines>
  <Paragraphs>9</Paragraphs>
  <TotalTime>6</TotalTime>
  <ScaleCrop>false</ScaleCrop>
  <LinksUpToDate>false</LinksUpToDate>
  <CharactersWithSpaces>4857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2021-02-02T10:29:00Z</dcterms:created>
  <dc:creator>Administrator</dc:creator>
  <cp:lastModifiedBy>Administrator</cp:lastModifiedBy>
  <dcterms:modified xsi:type="dcterms:W3CDTF">2021-02-07T03:15:48Z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