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1040"/>
        <w:rPr>
          <w:rFonts w:ascii="黑体" w:hAnsi="黑体" w:eastAsia="黑体" w:cs="黑体"/>
          <w:color w:val="000000"/>
          <w:sz w:val="52"/>
          <w:szCs w:val="52"/>
        </w:rPr>
      </w:pPr>
    </w:p>
    <w:p>
      <w:pPr>
        <w:ind w:firstLine="1040"/>
        <w:jc w:val="center"/>
        <w:rPr>
          <w:rFonts w:ascii="黑体" w:hAnsi="黑体" w:eastAsia="黑体" w:cs="黑体"/>
          <w:color w:val="000000"/>
          <w:sz w:val="52"/>
          <w:szCs w:val="52"/>
        </w:rPr>
      </w:pPr>
    </w:p>
    <w:p>
      <w:pPr>
        <w:ind w:firstLine="198" w:firstLineChars="38"/>
        <w:jc w:val="center"/>
        <w:rPr>
          <w:rFonts w:ascii="黑体" w:hAnsi="黑体" w:eastAsia="黑体" w:cs="黑体"/>
          <w:color w:val="000000"/>
          <w:sz w:val="52"/>
          <w:szCs w:val="52"/>
        </w:rPr>
      </w:pPr>
      <w:r>
        <w:rPr>
          <w:rFonts w:hint="eastAsia" w:ascii="黑体" w:hAnsi="黑体" w:eastAsia="黑体" w:cs="黑体"/>
          <w:color w:val="000000"/>
          <w:sz w:val="52"/>
          <w:szCs w:val="52"/>
        </w:rPr>
        <w:t>2019年度三门峡市自然资源和规划局部门决算</w:t>
      </w:r>
    </w:p>
    <w:p>
      <w:pPr>
        <w:ind w:firstLine="1040"/>
        <w:rPr>
          <w:rFonts w:ascii="宋体" w:hAnsi="宋体" w:eastAsia="宋体" w:cs="宋体"/>
          <w:color w:val="000000"/>
          <w:sz w:val="52"/>
          <w:szCs w:val="52"/>
        </w:rPr>
      </w:pPr>
    </w:p>
    <w:p>
      <w:pPr>
        <w:ind w:firstLine="1040"/>
        <w:rPr>
          <w:rFonts w:ascii="宋体" w:hAnsi="宋体" w:eastAsia="宋体" w:cs="宋体"/>
          <w:color w:val="000000"/>
          <w:sz w:val="52"/>
          <w:szCs w:val="52"/>
        </w:rPr>
      </w:pPr>
    </w:p>
    <w:p>
      <w:pPr>
        <w:ind w:firstLine="1040"/>
        <w:rPr>
          <w:rFonts w:ascii="宋体" w:hAnsi="宋体" w:eastAsia="宋体" w:cs="宋体"/>
          <w:color w:val="000000"/>
          <w:sz w:val="52"/>
          <w:szCs w:val="52"/>
        </w:rPr>
      </w:pPr>
    </w:p>
    <w:p>
      <w:pPr>
        <w:ind w:firstLine="1040"/>
        <w:rPr>
          <w:rFonts w:ascii="宋体" w:hAnsi="宋体" w:eastAsia="宋体" w:cs="宋体"/>
          <w:color w:val="000000"/>
          <w:sz w:val="52"/>
          <w:szCs w:val="52"/>
        </w:rPr>
      </w:pPr>
    </w:p>
    <w:p>
      <w:pPr>
        <w:ind w:firstLine="1040"/>
        <w:rPr>
          <w:rFonts w:ascii="宋体" w:hAnsi="宋体" w:eastAsia="宋体" w:cs="宋体"/>
          <w:color w:val="000000"/>
          <w:sz w:val="52"/>
          <w:szCs w:val="52"/>
        </w:rPr>
      </w:pPr>
    </w:p>
    <w:p>
      <w:pPr>
        <w:ind w:firstLine="1040"/>
        <w:rPr>
          <w:rFonts w:ascii="宋体" w:hAnsi="宋体" w:eastAsia="宋体" w:cs="宋体"/>
          <w:color w:val="000000"/>
          <w:sz w:val="52"/>
          <w:szCs w:val="52"/>
        </w:rPr>
      </w:pPr>
    </w:p>
    <w:p>
      <w:pPr>
        <w:ind w:firstLine="1040"/>
        <w:rPr>
          <w:rFonts w:ascii="宋体" w:hAnsi="宋体" w:eastAsia="宋体" w:cs="宋体"/>
          <w:color w:val="000000"/>
          <w:sz w:val="52"/>
          <w:szCs w:val="52"/>
        </w:rPr>
      </w:pPr>
    </w:p>
    <w:p>
      <w:pPr>
        <w:ind w:firstLine="1040"/>
        <w:rPr>
          <w:rFonts w:ascii="宋体" w:hAnsi="宋体" w:eastAsia="宋体" w:cs="宋体"/>
          <w:color w:val="000000"/>
          <w:sz w:val="52"/>
          <w:szCs w:val="52"/>
        </w:rPr>
      </w:pPr>
    </w:p>
    <w:p>
      <w:pPr>
        <w:ind w:firstLine="1040"/>
        <w:rPr>
          <w:rFonts w:ascii="宋体" w:hAnsi="宋体" w:eastAsia="宋体" w:cs="宋体"/>
          <w:color w:val="000000"/>
          <w:sz w:val="52"/>
          <w:szCs w:val="52"/>
        </w:rPr>
      </w:pPr>
    </w:p>
    <w:p>
      <w:pPr>
        <w:ind w:firstLine="640"/>
        <w:jc w:val="center"/>
        <w:rPr>
          <w:color w:val="000000"/>
        </w:rPr>
      </w:pPr>
    </w:p>
    <w:p>
      <w:pPr>
        <w:ind w:firstLine="640"/>
        <w:jc w:val="center"/>
        <w:rPr>
          <w:color w:val="000000"/>
        </w:rPr>
      </w:pPr>
    </w:p>
    <w:p>
      <w:pPr>
        <w:ind w:firstLine="640"/>
        <w:jc w:val="center"/>
        <w:rPr>
          <w:color w:val="000000"/>
        </w:rPr>
      </w:pPr>
    </w:p>
    <w:p>
      <w:pPr>
        <w:ind w:firstLine="640"/>
        <w:jc w:val="center"/>
        <w:rPr>
          <w:color w:val="000000"/>
        </w:rPr>
      </w:pPr>
    </w:p>
    <w:p>
      <w:pPr>
        <w:ind w:firstLine="640"/>
        <w:jc w:val="center"/>
        <w:rPr>
          <w:color w:val="000000"/>
        </w:rPr>
      </w:pPr>
    </w:p>
    <w:p>
      <w:pPr>
        <w:ind w:firstLine="640"/>
        <w:jc w:val="center"/>
        <w:rPr>
          <w:color w:val="000000"/>
        </w:rPr>
      </w:pPr>
    </w:p>
    <w:p>
      <w:pPr>
        <w:ind w:firstLine="640"/>
        <w:jc w:val="center"/>
        <w:rPr>
          <w:color w:val="000000"/>
        </w:rPr>
      </w:pPr>
    </w:p>
    <w:p>
      <w:pPr>
        <w:ind w:firstLine="640"/>
        <w:jc w:val="center"/>
        <w:rPr>
          <w:rFonts w:ascii="仿宋" w:hAnsi="仿宋" w:cs="仿宋"/>
          <w:b/>
          <w:bCs/>
          <w:color w:val="000000"/>
          <w:sz w:val="44"/>
          <w:szCs w:val="44"/>
        </w:rPr>
      </w:pPr>
      <w:r>
        <w:rPr>
          <w:color w:val="000000"/>
        </w:rPr>
        <w:t>二〇二〇年</w:t>
      </w:r>
      <w:r>
        <w:rPr>
          <w:rFonts w:hint="eastAsia"/>
          <w:color w:val="000000"/>
        </w:rPr>
        <w:t>九月</w:t>
      </w:r>
    </w:p>
    <w:p>
      <w:pPr>
        <w:ind w:firstLine="883"/>
        <w:rPr>
          <w:rFonts w:ascii="仿宋" w:hAnsi="仿宋" w:eastAsia="仿宋" w:cs="仿宋"/>
          <w:b/>
          <w:bCs/>
          <w:color w:val="000000"/>
          <w:sz w:val="44"/>
          <w:szCs w:val="44"/>
        </w:rPr>
      </w:pPr>
    </w:p>
    <w:p>
      <w:pPr>
        <w:kinsoku w:val="0"/>
        <w:overflowPunct w:val="0"/>
        <w:adjustRightInd w:val="0"/>
        <w:snapToGrid w:val="0"/>
        <w:spacing w:line="360" w:lineRule="auto"/>
        <w:ind w:left="-142" w:right="51" w:firstLine="31" w:firstLineChars="7"/>
        <w:jc w:val="center"/>
        <w:rPr>
          <w:rFonts w:ascii="黑体" w:eastAsia="黑体" w:cs="黑体"/>
          <w:sz w:val="44"/>
          <w:szCs w:val="44"/>
        </w:rPr>
      </w:pPr>
    </w:p>
    <w:p>
      <w:pPr>
        <w:ind w:firstLine="883"/>
        <w:jc w:val="center"/>
        <w:rPr>
          <w:rFonts w:ascii="仿宋" w:hAnsi="仿宋" w:eastAsia="仿宋" w:cs="仿宋"/>
          <w:b/>
          <w:bCs/>
          <w:color w:val="000000"/>
          <w:sz w:val="44"/>
          <w:szCs w:val="44"/>
        </w:rPr>
      </w:pPr>
    </w:p>
    <w:p>
      <w:pPr>
        <w:ind w:firstLine="883"/>
        <w:jc w:val="center"/>
        <w:rPr>
          <w:rFonts w:ascii="仿宋" w:hAnsi="仿宋" w:eastAsia="仿宋" w:cs="仿宋"/>
          <w:b/>
          <w:bCs/>
          <w:color w:val="000000"/>
          <w:sz w:val="44"/>
          <w:szCs w:val="44"/>
        </w:rPr>
      </w:pPr>
      <w:r>
        <w:rPr>
          <w:rFonts w:hint="eastAsia" w:ascii="仿宋" w:hAnsi="仿宋" w:eastAsia="仿宋" w:cs="仿宋"/>
          <w:b/>
          <w:bCs/>
          <w:color w:val="000000"/>
          <w:sz w:val="44"/>
          <w:szCs w:val="44"/>
        </w:rPr>
        <w:t>目    录</w:t>
      </w:r>
    </w:p>
    <w:p>
      <w:pPr>
        <w:kinsoku w:val="0"/>
        <w:overflowPunct w:val="0"/>
        <w:adjustRightInd w:val="0"/>
        <w:snapToGrid w:val="0"/>
        <w:spacing w:line="360" w:lineRule="auto"/>
        <w:ind w:left="-141" w:leftChars="-44" w:right="51" w:firstLine="656" w:firstLineChars="205"/>
        <w:rPr>
          <w:rFonts w:ascii="黑体" w:hAnsi="黑体" w:eastAsia="黑体" w:cs="黑体"/>
        </w:rPr>
      </w:pPr>
    </w:p>
    <w:p>
      <w:pPr>
        <w:kinsoku w:val="0"/>
        <w:overflowPunct w:val="0"/>
        <w:adjustRightInd w:val="0"/>
        <w:snapToGrid w:val="0"/>
        <w:spacing w:line="360" w:lineRule="auto"/>
        <w:ind w:right="51" w:firstLine="482" w:firstLineChars="150"/>
        <w:rPr>
          <w:rFonts w:ascii="仿宋" w:hAnsi="仿宋" w:eastAsia="仿宋"/>
          <w:b/>
        </w:rPr>
      </w:pPr>
      <w:r>
        <w:rPr>
          <w:rFonts w:hint="eastAsia" w:ascii="仿宋" w:hAnsi="仿宋" w:eastAsia="仿宋" w:cs="黑体"/>
          <w:b/>
        </w:rPr>
        <w:t>第一部分  三门峡市自然资源和规划局概况</w:t>
      </w:r>
    </w:p>
    <w:p>
      <w:pPr>
        <w:tabs>
          <w:tab w:val="left" w:pos="1260"/>
        </w:tabs>
        <w:kinsoku w:val="0"/>
        <w:overflowPunct w:val="0"/>
        <w:adjustRightInd w:val="0"/>
        <w:snapToGrid w:val="0"/>
        <w:spacing w:line="360" w:lineRule="auto"/>
        <w:ind w:right="4209" w:firstLine="480" w:firstLineChars="150"/>
        <w:rPr>
          <w:rFonts w:ascii="仿宋" w:hAnsi="仿宋" w:eastAsia="仿宋"/>
        </w:rPr>
      </w:pPr>
      <w:r>
        <w:rPr>
          <w:rFonts w:hint="eastAsia" w:ascii="仿宋" w:hAnsi="仿宋" w:eastAsia="仿宋" w:cs="仿宋_GB2312"/>
        </w:rPr>
        <w:t>一、部门职责</w:t>
      </w:r>
    </w:p>
    <w:p>
      <w:pPr>
        <w:tabs>
          <w:tab w:val="left" w:pos="1260"/>
        </w:tabs>
        <w:kinsoku w:val="0"/>
        <w:overflowPunct w:val="0"/>
        <w:adjustRightInd w:val="0"/>
        <w:snapToGrid w:val="0"/>
        <w:spacing w:line="360" w:lineRule="auto"/>
        <w:ind w:right="4209" w:firstLine="480" w:firstLineChars="150"/>
        <w:rPr>
          <w:rFonts w:ascii="仿宋" w:hAnsi="仿宋" w:eastAsia="仿宋"/>
        </w:rPr>
      </w:pPr>
      <w:r>
        <w:rPr>
          <w:rFonts w:hint="eastAsia" w:ascii="仿宋" w:hAnsi="仿宋" w:eastAsia="仿宋" w:cs="仿宋_GB2312"/>
        </w:rPr>
        <w:t>二、机构设置</w:t>
      </w:r>
    </w:p>
    <w:p>
      <w:pPr>
        <w:kinsoku w:val="0"/>
        <w:overflowPunct w:val="0"/>
        <w:adjustRightInd w:val="0"/>
        <w:snapToGrid w:val="0"/>
        <w:spacing w:line="360" w:lineRule="auto"/>
        <w:ind w:firstLine="482" w:firstLineChars="150"/>
        <w:rPr>
          <w:rFonts w:ascii="仿宋" w:hAnsi="仿宋" w:eastAsia="仿宋"/>
          <w:b/>
        </w:rPr>
      </w:pPr>
      <w:r>
        <w:rPr>
          <w:rFonts w:hint="eastAsia" w:ascii="仿宋" w:hAnsi="仿宋" w:eastAsia="仿宋" w:cs="黑体"/>
          <w:b/>
        </w:rPr>
        <w:t>第二部分</w:t>
      </w:r>
      <w:r>
        <w:rPr>
          <w:rFonts w:hint="eastAsia" w:ascii="仿宋" w:hAnsi="仿宋" w:eastAsia="仿宋" w:cs="黑体"/>
          <w:b/>
          <w:spacing w:val="-32"/>
        </w:rPr>
        <w:t xml:space="preserve">   </w:t>
      </w:r>
      <w:r>
        <w:rPr>
          <w:rFonts w:hint="eastAsia" w:ascii="仿宋" w:hAnsi="仿宋" w:eastAsia="仿宋" w:cs="黑体"/>
          <w:b/>
        </w:rPr>
        <w:t>2019年度部门决算表</w:t>
      </w:r>
    </w:p>
    <w:p>
      <w:pPr>
        <w:kinsoku w:val="0"/>
        <w:overflowPunct w:val="0"/>
        <w:adjustRightInd w:val="0"/>
        <w:snapToGrid w:val="0"/>
        <w:spacing w:line="360" w:lineRule="auto"/>
        <w:ind w:right="51" w:firstLine="538" w:firstLineChars="168"/>
        <w:jc w:val="left"/>
        <w:rPr>
          <w:rFonts w:ascii="仿宋" w:hAnsi="仿宋" w:eastAsia="仿宋"/>
        </w:rPr>
      </w:pPr>
      <w:r>
        <w:rPr>
          <w:rFonts w:hint="eastAsia" w:ascii="仿宋" w:hAnsi="仿宋" w:eastAsia="仿宋" w:cs="仿宋_GB2312"/>
        </w:rPr>
        <w:t xml:space="preserve">一、收入支出决算总表 </w:t>
      </w:r>
    </w:p>
    <w:p>
      <w:pPr>
        <w:kinsoku w:val="0"/>
        <w:overflowPunct w:val="0"/>
        <w:adjustRightInd w:val="0"/>
        <w:snapToGrid w:val="0"/>
        <w:spacing w:line="360" w:lineRule="auto"/>
        <w:ind w:right="51" w:firstLine="538" w:firstLineChars="168"/>
        <w:jc w:val="left"/>
        <w:rPr>
          <w:rFonts w:ascii="仿宋" w:hAnsi="仿宋" w:eastAsia="仿宋"/>
        </w:rPr>
      </w:pPr>
      <w:r>
        <w:rPr>
          <w:rFonts w:hint="eastAsia" w:ascii="仿宋" w:hAnsi="仿宋" w:eastAsia="仿宋" w:cs="仿宋_GB2312"/>
        </w:rPr>
        <w:t xml:space="preserve">二、收入决算表 </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三、支出决算表</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四、财政拨款收入支出决算总表</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五、一般公共预算财政拨款支出决算表</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六、一般公共预算财政拨款基本支出决算表</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七</w:t>
      </w:r>
      <w:r>
        <w:rPr>
          <w:rFonts w:ascii="仿宋" w:hAnsi="仿宋" w:eastAsia="仿宋" w:cs="仿宋_GB2312"/>
        </w:rPr>
        <w:t>、一般公共预算财政拨款“三公”经费支出决算表</w:t>
      </w:r>
    </w:p>
    <w:p>
      <w:pPr>
        <w:kinsoku w:val="0"/>
        <w:overflowPunct w:val="0"/>
        <w:adjustRightInd w:val="0"/>
        <w:snapToGrid w:val="0"/>
        <w:spacing w:line="360" w:lineRule="auto"/>
        <w:ind w:right="51" w:firstLine="538" w:firstLineChars="168"/>
        <w:jc w:val="left"/>
        <w:rPr>
          <w:rFonts w:ascii="仿宋" w:hAnsi="仿宋" w:eastAsia="仿宋" w:cs="仿宋"/>
          <w:color w:val="000000"/>
        </w:rPr>
      </w:pPr>
      <w:r>
        <w:rPr>
          <w:rFonts w:hint="eastAsia" w:ascii="仿宋" w:hAnsi="仿宋" w:eastAsia="仿宋" w:cs="仿宋_GB2312"/>
        </w:rPr>
        <w:t>八、政</w:t>
      </w:r>
      <w:r>
        <w:rPr>
          <w:rFonts w:hint="eastAsia" w:ascii="仿宋" w:hAnsi="仿宋" w:eastAsia="仿宋" w:cs="仿宋"/>
          <w:color w:val="000000"/>
        </w:rPr>
        <w:t>府性基金预算财政拨款收入支出决算表</w:t>
      </w:r>
    </w:p>
    <w:p>
      <w:pPr>
        <w:kinsoku w:val="0"/>
        <w:overflowPunct w:val="0"/>
        <w:adjustRightInd w:val="0"/>
        <w:snapToGrid w:val="0"/>
        <w:spacing w:line="360" w:lineRule="auto"/>
        <w:ind w:left="101" w:right="521" w:firstLine="482" w:firstLineChars="150"/>
        <w:rPr>
          <w:rFonts w:ascii="仿宋" w:hAnsi="仿宋" w:eastAsia="仿宋"/>
          <w:b/>
          <w:w w:val="99"/>
        </w:rPr>
      </w:pPr>
      <w:r>
        <w:rPr>
          <w:rFonts w:hint="eastAsia" w:ascii="仿宋" w:hAnsi="仿宋" w:eastAsia="仿宋" w:cs="黑体"/>
          <w:b/>
        </w:rPr>
        <w:t>第三部分  2019年度部门决算情况说明</w:t>
      </w:r>
      <w:r>
        <w:rPr>
          <w:rFonts w:hint="eastAsia" w:ascii="仿宋" w:hAnsi="仿宋" w:eastAsia="仿宋" w:cs="黑体"/>
          <w:b/>
          <w:w w:val="99"/>
        </w:rPr>
        <w:t xml:space="preserve"> </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
          <w:color w:val="000000"/>
        </w:rPr>
        <w:t>一、收</w:t>
      </w:r>
      <w:r>
        <w:rPr>
          <w:rFonts w:hint="eastAsia" w:ascii="仿宋" w:hAnsi="仿宋" w:eastAsia="仿宋" w:cs="仿宋_GB2312"/>
        </w:rPr>
        <w:t>入支出决算总体情况说明</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二、收入决算情况说明</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 xml:space="preserve">三、支出决算情况说明 </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 xml:space="preserve">四、财政拨款收入支出决算总体情况说明 </w:t>
      </w:r>
    </w:p>
    <w:p>
      <w:pPr>
        <w:kinsoku w:val="0"/>
        <w:overflowPunct w:val="0"/>
        <w:adjustRightInd w:val="0"/>
        <w:snapToGrid w:val="0"/>
        <w:spacing w:line="360" w:lineRule="auto"/>
        <w:ind w:right="51" w:firstLine="538" w:firstLineChars="168"/>
        <w:jc w:val="left"/>
        <w:rPr>
          <w:rFonts w:ascii="仿宋" w:hAnsi="仿宋" w:eastAsia="仿宋" w:cs="仿宋"/>
          <w:color w:val="000000"/>
        </w:rPr>
      </w:pPr>
      <w:r>
        <w:rPr>
          <w:rFonts w:hint="eastAsia" w:ascii="仿宋" w:hAnsi="仿宋" w:eastAsia="仿宋" w:cs="仿宋_GB2312"/>
        </w:rPr>
        <w:t>五、一般</w:t>
      </w:r>
      <w:r>
        <w:rPr>
          <w:rFonts w:hint="eastAsia" w:ascii="仿宋" w:hAnsi="仿宋" w:eastAsia="仿宋" w:cs="仿宋"/>
          <w:color w:val="000000"/>
        </w:rPr>
        <w:t xml:space="preserve">公共预算财政拨款支出决算情况说明 </w:t>
      </w:r>
    </w:p>
    <w:p>
      <w:pPr>
        <w:kinsoku w:val="0"/>
        <w:overflowPunct w:val="0"/>
        <w:adjustRightInd w:val="0"/>
        <w:snapToGrid w:val="0"/>
        <w:spacing w:line="360" w:lineRule="auto"/>
        <w:ind w:right="51" w:firstLine="538" w:firstLineChars="168"/>
        <w:jc w:val="left"/>
        <w:rPr>
          <w:rFonts w:ascii="仿宋" w:hAnsi="仿宋" w:eastAsia="仿宋" w:cs="仿宋"/>
          <w:color w:val="000000"/>
        </w:rPr>
      </w:pPr>
      <w:r>
        <w:rPr>
          <w:rFonts w:hint="eastAsia" w:ascii="仿宋" w:hAnsi="仿宋" w:eastAsia="仿宋" w:cs="仿宋"/>
          <w:color w:val="000000"/>
        </w:rPr>
        <w:t xml:space="preserve">六、一般公共预算财政拨款基本支出决算情况说明 </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
          <w:color w:val="000000"/>
        </w:rPr>
        <w:t>七、一</w:t>
      </w:r>
      <w:r>
        <w:rPr>
          <w:rFonts w:hint="eastAsia" w:ascii="仿宋" w:hAnsi="仿宋" w:eastAsia="仿宋" w:cs="仿宋_GB2312"/>
        </w:rPr>
        <w:t xml:space="preserve">般公共预算财政拨款“三公”经费支出决算情况说明 </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 xml:space="preserve">八、预算绩效情况说明 </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 xml:space="preserve">九、政府性基金预算财政拨款支出决算情况说明 </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十、机关运行经费支出情况说明</w:t>
      </w:r>
    </w:p>
    <w:p>
      <w:pPr>
        <w:kinsoku w:val="0"/>
        <w:overflowPunct w:val="0"/>
        <w:adjustRightInd w:val="0"/>
        <w:snapToGrid w:val="0"/>
        <w:spacing w:line="360" w:lineRule="auto"/>
        <w:ind w:right="51" w:firstLine="538" w:firstLineChars="168"/>
        <w:jc w:val="left"/>
        <w:rPr>
          <w:rFonts w:ascii="仿宋" w:hAnsi="仿宋" w:eastAsia="仿宋" w:cs="仿宋_GB2312"/>
        </w:rPr>
      </w:pPr>
      <w:r>
        <w:rPr>
          <w:rFonts w:hint="eastAsia" w:ascii="仿宋" w:hAnsi="仿宋" w:eastAsia="仿宋" w:cs="仿宋_GB2312"/>
        </w:rPr>
        <w:t>十一、政府采购支出情况说明</w:t>
      </w:r>
    </w:p>
    <w:p>
      <w:pPr>
        <w:kinsoku w:val="0"/>
        <w:overflowPunct w:val="0"/>
        <w:adjustRightInd w:val="0"/>
        <w:snapToGrid w:val="0"/>
        <w:spacing w:line="360" w:lineRule="auto"/>
        <w:ind w:right="51" w:firstLine="538" w:firstLineChars="168"/>
        <w:jc w:val="left"/>
        <w:rPr>
          <w:rFonts w:ascii="仿宋" w:hAnsi="仿宋" w:eastAsia="仿宋" w:cs="仿宋"/>
          <w:color w:val="000000"/>
        </w:rPr>
      </w:pPr>
      <w:r>
        <w:rPr>
          <w:rFonts w:hint="eastAsia" w:ascii="仿宋" w:hAnsi="仿宋" w:eastAsia="仿宋" w:cs="仿宋_GB2312"/>
        </w:rPr>
        <w:t>十二、国</w:t>
      </w:r>
      <w:r>
        <w:rPr>
          <w:rFonts w:hint="eastAsia" w:ascii="仿宋" w:hAnsi="仿宋" w:eastAsia="仿宋" w:cs="仿宋"/>
          <w:color w:val="000000"/>
        </w:rPr>
        <w:t xml:space="preserve">有资产占用情况说明 </w:t>
      </w:r>
    </w:p>
    <w:p>
      <w:pPr>
        <w:ind w:firstLine="643"/>
        <w:jc w:val="left"/>
        <w:rPr>
          <w:rFonts w:ascii="仿宋" w:hAnsi="仿宋" w:eastAsia="仿宋" w:cs="仿宋"/>
          <w:color w:val="000000"/>
        </w:rPr>
      </w:pPr>
      <w:r>
        <w:rPr>
          <w:rFonts w:hint="eastAsia" w:ascii="仿宋" w:hAnsi="仿宋" w:eastAsia="仿宋" w:cs="黑体"/>
          <w:b/>
        </w:rPr>
        <w:t>第四部分</w:t>
      </w:r>
      <w:r>
        <w:rPr>
          <w:rFonts w:hint="eastAsia" w:ascii="仿宋" w:hAnsi="仿宋" w:eastAsia="仿宋" w:cs="黑体"/>
          <w:b/>
          <w:spacing w:val="-32"/>
        </w:rPr>
        <w:t xml:space="preserve">  </w:t>
      </w:r>
      <w:r>
        <w:rPr>
          <w:rFonts w:hint="eastAsia" w:ascii="仿宋" w:hAnsi="仿宋" w:eastAsia="仿宋" w:cs="黑体"/>
          <w:b/>
        </w:rPr>
        <w:t>名词解释</w:t>
      </w:r>
    </w:p>
    <w:p>
      <w:pPr>
        <w:kinsoku w:val="0"/>
        <w:overflowPunct w:val="0"/>
        <w:adjustRightInd w:val="0"/>
        <w:snapToGrid w:val="0"/>
        <w:spacing w:line="360" w:lineRule="auto"/>
        <w:ind w:left="101" w:right="521" w:firstLine="640"/>
        <w:rPr>
          <w:rFonts w:ascii="仿宋" w:hAnsi="仿宋" w:eastAsia="仿宋"/>
        </w:rPr>
      </w:pPr>
    </w:p>
    <w:p>
      <w:pPr>
        <w:adjustRightInd w:val="0"/>
        <w:snapToGrid w:val="0"/>
        <w:spacing w:line="360" w:lineRule="auto"/>
        <w:ind w:firstLine="640"/>
        <w:jc w:val="center"/>
        <w:rPr>
          <w:rFonts w:ascii="仿宋" w:hAnsi="仿宋" w:eastAsia="仿宋"/>
        </w:rPr>
      </w:pPr>
    </w:p>
    <w:p>
      <w:pPr>
        <w:adjustRightInd w:val="0"/>
        <w:snapToGrid w:val="0"/>
        <w:spacing w:line="360" w:lineRule="auto"/>
        <w:ind w:firstLine="640"/>
        <w:jc w:val="center"/>
        <w:rPr>
          <w:rFonts w:ascii="仿宋" w:hAnsi="仿宋" w:eastAsia="仿宋"/>
        </w:rPr>
      </w:pPr>
    </w:p>
    <w:p>
      <w:pPr>
        <w:adjustRightInd w:val="0"/>
        <w:snapToGrid w:val="0"/>
        <w:spacing w:line="360" w:lineRule="auto"/>
        <w:ind w:firstLine="640"/>
        <w:jc w:val="center"/>
        <w:rPr>
          <w:rFonts w:ascii="仿宋" w:hAnsi="仿宋" w:eastAsia="仿宋"/>
        </w:rPr>
      </w:pPr>
    </w:p>
    <w:p>
      <w:pPr>
        <w:adjustRightInd w:val="0"/>
        <w:snapToGrid w:val="0"/>
        <w:spacing w:line="360" w:lineRule="auto"/>
        <w:ind w:firstLine="640"/>
        <w:jc w:val="center"/>
        <w:rPr>
          <w:rFonts w:ascii="仿宋" w:hAnsi="仿宋" w:eastAsia="仿宋"/>
        </w:rPr>
      </w:pPr>
    </w:p>
    <w:p>
      <w:pPr>
        <w:adjustRightInd w:val="0"/>
        <w:snapToGrid w:val="0"/>
        <w:spacing w:line="360" w:lineRule="auto"/>
        <w:ind w:firstLine="0" w:firstLineChars="0"/>
        <w:jc w:val="center"/>
        <w:rPr>
          <w:rFonts w:ascii="仿宋" w:hAnsi="仿宋" w:eastAsia="仿宋" w:cs="黑体"/>
        </w:rPr>
      </w:pPr>
    </w:p>
    <w:p>
      <w:pPr>
        <w:adjustRightInd w:val="0"/>
        <w:snapToGrid w:val="0"/>
        <w:spacing w:line="360" w:lineRule="auto"/>
        <w:ind w:firstLine="0" w:firstLineChars="0"/>
        <w:jc w:val="center"/>
        <w:rPr>
          <w:rFonts w:ascii="仿宋" w:hAnsi="仿宋" w:eastAsia="仿宋" w:cs="黑体"/>
        </w:rPr>
      </w:pPr>
    </w:p>
    <w:p>
      <w:pPr>
        <w:adjustRightInd w:val="0"/>
        <w:snapToGrid w:val="0"/>
        <w:spacing w:line="360" w:lineRule="auto"/>
        <w:ind w:firstLine="0" w:firstLineChars="0"/>
        <w:jc w:val="center"/>
        <w:rPr>
          <w:rFonts w:ascii="仿宋" w:hAnsi="仿宋" w:eastAsia="仿宋" w:cs="黑体"/>
        </w:rPr>
      </w:pPr>
    </w:p>
    <w:p>
      <w:pPr>
        <w:adjustRightInd w:val="0"/>
        <w:snapToGrid w:val="0"/>
        <w:spacing w:line="360" w:lineRule="auto"/>
        <w:ind w:firstLine="0" w:firstLineChars="0"/>
        <w:jc w:val="center"/>
        <w:rPr>
          <w:rFonts w:ascii="仿宋" w:hAnsi="仿宋" w:eastAsia="仿宋" w:cs="黑体"/>
        </w:rPr>
      </w:pPr>
    </w:p>
    <w:p>
      <w:pPr>
        <w:adjustRightInd w:val="0"/>
        <w:snapToGrid w:val="0"/>
        <w:spacing w:line="360" w:lineRule="auto"/>
        <w:ind w:firstLine="0" w:firstLineChars="0"/>
        <w:jc w:val="center"/>
        <w:rPr>
          <w:rFonts w:ascii="仿宋" w:hAnsi="仿宋" w:eastAsia="仿宋" w:cs="黑体"/>
        </w:rPr>
      </w:pPr>
    </w:p>
    <w:p>
      <w:pPr>
        <w:adjustRightInd w:val="0"/>
        <w:snapToGrid w:val="0"/>
        <w:spacing w:line="360" w:lineRule="auto"/>
        <w:ind w:firstLine="0" w:firstLineChars="0"/>
        <w:jc w:val="center"/>
        <w:rPr>
          <w:rFonts w:ascii="仿宋" w:hAnsi="仿宋" w:eastAsia="仿宋" w:cs="黑体"/>
        </w:rPr>
      </w:pPr>
    </w:p>
    <w:p>
      <w:pPr>
        <w:adjustRightInd w:val="0"/>
        <w:snapToGrid w:val="0"/>
        <w:spacing w:line="360" w:lineRule="auto"/>
        <w:ind w:firstLine="0" w:firstLineChars="0"/>
        <w:jc w:val="center"/>
        <w:rPr>
          <w:rFonts w:ascii="仿宋" w:hAnsi="仿宋" w:eastAsia="仿宋" w:cs="黑体"/>
        </w:rPr>
      </w:pPr>
    </w:p>
    <w:p>
      <w:pPr>
        <w:adjustRightInd w:val="0"/>
        <w:snapToGrid w:val="0"/>
        <w:spacing w:line="360" w:lineRule="auto"/>
        <w:ind w:firstLine="0" w:firstLineChars="0"/>
        <w:jc w:val="center"/>
        <w:rPr>
          <w:rFonts w:ascii="仿宋" w:hAnsi="仿宋" w:eastAsia="仿宋" w:cs="黑体"/>
        </w:rPr>
      </w:pPr>
    </w:p>
    <w:p>
      <w:pPr>
        <w:adjustRightInd w:val="0"/>
        <w:snapToGrid w:val="0"/>
        <w:spacing w:line="360" w:lineRule="auto"/>
        <w:ind w:firstLine="0" w:firstLineChars="0"/>
        <w:jc w:val="center"/>
        <w:rPr>
          <w:rFonts w:ascii="仿宋" w:hAnsi="仿宋" w:eastAsia="仿宋" w:cs="黑体"/>
        </w:rPr>
      </w:pPr>
    </w:p>
    <w:p>
      <w:pPr>
        <w:adjustRightInd w:val="0"/>
        <w:snapToGrid w:val="0"/>
        <w:spacing w:line="360" w:lineRule="auto"/>
        <w:ind w:firstLine="0" w:firstLineChars="0"/>
        <w:jc w:val="center"/>
        <w:rPr>
          <w:rFonts w:ascii="仿宋" w:hAnsi="仿宋" w:eastAsia="仿宋" w:cs="黑体"/>
        </w:rPr>
      </w:pPr>
    </w:p>
    <w:p>
      <w:pPr>
        <w:adjustRightInd w:val="0"/>
        <w:snapToGrid w:val="0"/>
        <w:spacing w:line="240" w:lineRule="auto"/>
        <w:ind w:firstLine="0" w:firstLineChars="0"/>
        <w:jc w:val="center"/>
        <w:rPr>
          <w:rFonts w:ascii="黑体" w:hAnsi="黑体" w:eastAsia="黑体"/>
          <w:sz w:val="48"/>
          <w:szCs w:val="48"/>
        </w:rPr>
      </w:pPr>
      <w:r>
        <w:rPr>
          <w:rFonts w:hint="eastAsia" w:ascii="黑体" w:hAnsi="黑体" w:eastAsia="黑体" w:cs="黑体"/>
          <w:sz w:val="48"/>
          <w:szCs w:val="48"/>
        </w:rPr>
        <w:t>第一部分</w:t>
      </w:r>
    </w:p>
    <w:p>
      <w:pPr>
        <w:adjustRightInd w:val="0"/>
        <w:snapToGrid w:val="0"/>
        <w:spacing w:line="240" w:lineRule="auto"/>
        <w:ind w:firstLine="0" w:firstLineChars="0"/>
        <w:jc w:val="center"/>
        <w:rPr>
          <w:rFonts w:ascii="黑体" w:hAnsi="黑体" w:eastAsia="黑体"/>
          <w:sz w:val="48"/>
          <w:szCs w:val="48"/>
        </w:rPr>
      </w:pPr>
      <w:r>
        <w:rPr>
          <w:rFonts w:hint="eastAsia" w:ascii="黑体" w:hAnsi="黑体" w:eastAsia="黑体" w:cs="黑体"/>
          <w:sz w:val="48"/>
          <w:szCs w:val="48"/>
        </w:rPr>
        <w:t>三门峡市自然资源和规划局概况</w:t>
      </w:r>
    </w:p>
    <w:p>
      <w:pPr>
        <w:spacing w:line="360" w:lineRule="auto"/>
        <w:ind w:firstLine="643"/>
        <w:jc w:val="left"/>
        <w:rPr>
          <w:rFonts w:ascii="黑体" w:hAnsi="黑体" w:eastAsia="黑体" w:cs="黑体"/>
          <w:b/>
          <w:bCs/>
          <w:color w:val="000000"/>
        </w:rPr>
      </w:pPr>
    </w:p>
    <w:p>
      <w:pPr>
        <w:spacing w:line="360" w:lineRule="auto"/>
        <w:ind w:firstLine="643"/>
        <w:jc w:val="left"/>
        <w:rPr>
          <w:rFonts w:ascii="黑体" w:hAnsi="黑体" w:eastAsia="黑体" w:cs="黑体"/>
          <w:b/>
          <w:bCs/>
          <w:color w:val="000000"/>
        </w:rPr>
      </w:pPr>
      <w:r>
        <w:rPr>
          <w:rFonts w:hint="eastAsia" w:ascii="黑体" w:hAnsi="黑体" w:eastAsia="黑体" w:cs="黑体"/>
          <w:b/>
          <w:bCs/>
          <w:color w:val="000000"/>
        </w:rPr>
        <w:t>一、部门职责</w:t>
      </w:r>
    </w:p>
    <w:p>
      <w:pPr>
        <w:spacing w:line="580" w:lineRule="exact"/>
        <w:ind w:firstLine="640"/>
        <w:rPr>
          <w:rFonts w:ascii="仿宋" w:hAnsi="仿宋" w:eastAsia="仿宋"/>
        </w:rPr>
      </w:pPr>
      <w:r>
        <w:rPr>
          <w:rFonts w:hint="eastAsia" w:ascii="仿宋" w:hAnsi="仿宋" w:eastAsia="仿宋"/>
        </w:rPr>
        <w:t>三门峡市自然资源和规划局贯彻落实党中央关于自然资源工作的方针政策和决策部署，在履行职责过程中坚持和加强党对自然资源工作的集中统一领导。主要职责是：</w:t>
      </w:r>
    </w:p>
    <w:p>
      <w:pPr>
        <w:widowControl/>
        <w:spacing w:line="580" w:lineRule="exact"/>
        <w:ind w:firstLine="640"/>
        <w:rPr>
          <w:rFonts w:ascii="仿宋" w:hAnsi="仿宋" w:eastAsia="仿宋"/>
          <w:color w:val="000000"/>
        </w:rPr>
      </w:pPr>
      <w:r>
        <w:rPr>
          <w:rFonts w:hint="eastAsia" w:ascii="仿宋" w:hAnsi="仿宋" w:eastAsia="仿宋"/>
          <w:color w:val="000000"/>
        </w:rPr>
        <w:t>（一）履行全市全民所有土地、矿产、森林、草原、湿地、水等自然资源资产所有者职责和所有国土空间用途管制职责。贯彻落实自然资源和国土空间规划及测绘等地方性法规和规章，拟定城乡规划地方性法规和草案。监督检查自然资源和国土空间规划及测绘等法律法规的执行情况。</w:t>
      </w:r>
    </w:p>
    <w:p>
      <w:pPr>
        <w:spacing w:line="580" w:lineRule="exact"/>
        <w:ind w:firstLine="640"/>
        <w:rPr>
          <w:rFonts w:ascii="仿宋" w:hAnsi="仿宋" w:eastAsia="仿宋"/>
          <w:color w:val="000000"/>
        </w:rPr>
      </w:pPr>
      <w:r>
        <w:rPr>
          <w:rFonts w:hint="eastAsia" w:ascii="仿宋" w:hAnsi="仿宋" w:eastAsia="仿宋"/>
          <w:color w:val="000000"/>
        </w:rPr>
        <w:t>（二）负责全市自然资源调查监测评价。贯彻执行国家自然资源调查监测评价的指标体系和统计标准，建立统一规范的自然资源调查监测评价制度。实施自然资源基础调查、专项调查和监测。负责自然资源调查监测评价成果的监督管理和信息发布。指导全市自然资源调查监测评价工作。</w:t>
      </w:r>
    </w:p>
    <w:p>
      <w:pPr>
        <w:spacing w:line="580" w:lineRule="exact"/>
        <w:ind w:firstLine="640"/>
        <w:rPr>
          <w:rFonts w:ascii="仿宋" w:hAnsi="仿宋" w:eastAsia="仿宋"/>
          <w:color w:val="000000"/>
        </w:rPr>
      </w:pPr>
      <w:r>
        <w:rPr>
          <w:rFonts w:hint="eastAsia" w:ascii="仿宋" w:hAnsi="仿宋" w:eastAsia="仿宋"/>
          <w:color w:val="000000"/>
        </w:rPr>
        <w:t>（三）负责全市自然资源统一确权登记工作。贯彻执行国家各类自然资源和不动产统一确权登记、权籍调查、不动产测绘、争议调处、成果应用的制度、标准、规范。建立健全全市自然资源和不动产登记信息管理基础平台。负责自然资源和不动产登记资料收集、整理、共享、汇交管理等。指导监督全市自然资源和不动产确权登记工作。</w:t>
      </w:r>
    </w:p>
    <w:p>
      <w:pPr>
        <w:spacing w:line="580" w:lineRule="exact"/>
        <w:ind w:firstLine="640"/>
        <w:rPr>
          <w:rFonts w:ascii="仿宋" w:hAnsi="仿宋" w:eastAsia="仿宋"/>
          <w:color w:val="000000"/>
        </w:rPr>
      </w:pPr>
      <w:r>
        <w:rPr>
          <w:rFonts w:hint="eastAsia" w:ascii="仿宋" w:hAnsi="仿宋" w:eastAsia="仿宋"/>
          <w:color w:val="000000"/>
        </w:rPr>
        <w:t>（四）负责全市自然资源资产有偿使用工作。贯彻执行全民所有自然资源资产统计制度，负责全民所有自然资源资产核算。负责编制全民所有自然资源资产负债表，拟订考核标准。组织实施全民所有自然资源资产划拨、出让、租赁、作价出资，拟订土地储备政策并监督实施，合理配置全民所有自然资源资产。负责自然资源资产价值评估管理，依法收缴相关资产收益。</w:t>
      </w:r>
    </w:p>
    <w:p>
      <w:pPr>
        <w:spacing w:line="580" w:lineRule="exact"/>
        <w:ind w:firstLine="640"/>
        <w:rPr>
          <w:rFonts w:ascii="仿宋" w:hAnsi="仿宋" w:eastAsia="仿宋"/>
          <w:color w:val="000000"/>
        </w:rPr>
      </w:pPr>
      <w:r>
        <w:rPr>
          <w:rFonts w:hint="eastAsia" w:ascii="仿宋" w:hAnsi="仿宋" w:eastAsia="仿宋"/>
          <w:color w:val="000000"/>
        </w:rPr>
        <w:t>（五）负责全市自然资源的合理开发利用。组织拟订自然资源发展规划，贯彻执行国家和省自然资源开发利用标准并组织实施，建立政府公示自然资源价格体系，组织开展自然资源分等定级价格评估、自然资源利用评价考核、指导节约集约利用。负责自然资源市场监管。组织研究自然资源管理涉及宏观调控、区域协调和城乡统筹的政策措施。</w:t>
      </w:r>
    </w:p>
    <w:p>
      <w:pPr>
        <w:spacing w:line="580" w:lineRule="exact"/>
        <w:ind w:firstLine="640"/>
        <w:rPr>
          <w:rFonts w:ascii="仿宋" w:hAnsi="仿宋" w:eastAsia="仿宋"/>
          <w:color w:val="000000"/>
        </w:rPr>
      </w:pPr>
      <w:r>
        <w:rPr>
          <w:rFonts w:hint="eastAsia" w:ascii="仿宋" w:hAnsi="仿宋" w:eastAsia="仿宋"/>
          <w:color w:val="000000"/>
        </w:rPr>
        <w:t>（六）负责建立全市空间规划体系并监督实施。落实主体功能区战略和制度；组织编制国土空间规划和相关专项规划并监督实施；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定城乡规划政策并监督实施。指导各县（市）乡（镇）规划和村庄规划编制和实施。承担历史文化名镇、名村相关的审查报批和保护监督工作。组织拟订并实施土地等自然资源年度利用计划。负责土地等国土空间用途转用工作。负责土地征收征用管理。</w:t>
      </w:r>
    </w:p>
    <w:p>
      <w:pPr>
        <w:spacing w:line="580" w:lineRule="exact"/>
        <w:ind w:firstLine="640"/>
        <w:rPr>
          <w:rFonts w:ascii="仿宋" w:hAnsi="仿宋" w:eastAsia="仿宋"/>
          <w:b/>
          <w:color w:val="000000"/>
        </w:rPr>
      </w:pPr>
      <w:r>
        <w:rPr>
          <w:rFonts w:hint="eastAsia" w:ascii="仿宋" w:hAnsi="仿宋" w:eastAsia="仿宋"/>
          <w:color w:val="000000"/>
        </w:rPr>
        <w:t>（七）具体承担市辖区城乡规划管理职责。负责中心城区控制性详细规划、重要地段城市设计和修建性详细规划的编制、报批和实施工作；负责城市规划区内建设项目的选址、用地规划、工程规划审批及批后管理，核发建设项目选址意见书、建设用地规划许可证、建设工程规划许可证；负责市辖区的村镇规划管理工作，核发乡村建设规划许可证。</w:t>
      </w:r>
    </w:p>
    <w:p>
      <w:pPr>
        <w:spacing w:line="580" w:lineRule="exact"/>
        <w:ind w:firstLine="640"/>
        <w:rPr>
          <w:rFonts w:ascii="仿宋" w:hAnsi="仿宋" w:eastAsia="仿宋"/>
          <w:color w:val="000000"/>
        </w:rPr>
      </w:pPr>
      <w:r>
        <w:rPr>
          <w:rFonts w:hint="eastAsia" w:ascii="仿宋" w:hAnsi="仿宋" w:eastAsia="仿宋"/>
          <w:color w:val="000000"/>
        </w:rPr>
        <w:t>（八）负责统筹全市国土空间生态修复。牵头组织编制国土空间生态修复规划并实施有关生态修复重大工程。负责国土空间综合整治、土地整理复垦、矿山地质环境恢复治理等工作。牵头建立和实施生态保护补偿制度，制定合理利用社会资金进行生态修复的政策措施，提出重大备选项目。</w:t>
      </w:r>
    </w:p>
    <w:p>
      <w:pPr>
        <w:spacing w:line="580" w:lineRule="exact"/>
        <w:ind w:firstLine="640"/>
        <w:rPr>
          <w:rFonts w:ascii="仿宋" w:hAnsi="仿宋" w:eastAsia="仿宋"/>
          <w:color w:val="000000"/>
        </w:rPr>
      </w:pPr>
      <w:r>
        <w:rPr>
          <w:rFonts w:hint="eastAsia" w:ascii="仿宋" w:hAnsi="仿宋" w:eastAsia="仿宋"/>
          <w:color w:val="000000"/>
        </w:rPr>
        <w:t>（九）负责组织实施最严格的耕地保护制度。落实国家耕地保护政策，负责耕地数量、质量、生态保护。组织实施耕地保护责任目标考核和永久基本农田特殊保护。完善耕地占补平衡制度，监督占用耕地补偿制度执行情况。</w:t>
      </w:r>
    </w:p>
    <w:p>
      <w:pPr>
        <w:spacing w:line="580" w:lineRule="exact"/>
        <w:ind w:firstLine="640"/>
        <w:rPr>
          <w:rFonts w:ascii="仿宋" w:hAnsi="仿宋" w:eastAsia="仿宋"/>
          <w:color w:val="000000"/>
        </w:rPr>
      </w:pPr>
      <w:r>
        <w:rPr>
          <w:rFonts w:hint="eastAsia" w:ascii="仿宋" w:hAnsi="仿宋" w:eastAsia="仿宋"/>
          <w:color w:val="000000"/>
        </w:rPr>
        <w:t>（十）负责管理全市地质勘查和地质工作。编制地质勘查规划并监督检查执行情况。管理市财政出资的地质勘查项目。监督管理地下水过量开采及引发的地面沉降等地质问题。负责古生物化石的监督管理。</w:t>
      </w:r>
    </w:p>
    <w:p>
      <w:pPr>
        <w:spacing w:line="580" w:lineRule="exact"/>
        <w:ind w:firstLine="640"/>
        <w:rPr>
          <w:rFonts w:ascii="仿宋" w:hAnsi="仿宋" w:eastAsia="仿宋"/>
          <w:color w:val="000000"/>
        </w:rPr>
      </w:pPr>
      <w:r>
        <w:rPr>
          <w:rFonts w:hint="eastAsia" w:ascii="仿宋" w:hAnsi="仿宋" w:eastAsia="仿宋"/>
          <w:color w:val="000000"/>
        </w:rPr>
        <w:t>（十一）承担全市地质灾害预防和治理。落实全市综合防灾减灾规划相关要求，编制地质灾害防治规划和防护标准并指导实施。管理市财政出资的地质灾害预防和治理项目。组织指导协调和监督地质灾害调查评价及隐患的普查、详查、排查。指导开展群测群防、专业监测和预报预警等工作，指导开展地质灾害工程治理工作。管理地质灾害相关资质。承担地质灾害应急救援的技术支撑工作。</w:t>
      </w:r>
    </w:p>
    <w:p>
      <w:pPr>
        <w:spacing w:line="580" w:lineRule="exact"/>
        <w:ind w:firstLine="640"/>
        <w:rPr>
          <w:rFonts w:ascii="仿宋" w:hAnsi="仿宋" w:eastAsia="仿宋"/>
          <w:color w:val="000000"/>
        </w:rPr>
      </w:pPr>
      <w:r>
        <w:rPr>
          <w:rFonts w:hint="eastAsia" w:ascii="仿宋" w:hAnsi="仿宋" w:eastAsia="仿宋"/>
          <w:color w:val="000000"/>
        </w:rPr>
        <w:t>（十二）负责全市矿业权管理工作。负责矿业权出让及审批登记管理。指导全市矿业权审批登记工作，调处矿业权重大权属纠纷。会同有关部门承担保护性开采矿种的总量调控及相关管理工作。</w:t>
      </w:r>
    </w:p>
    <w:p>
      <w:pPr>
        <w:spacing w:line="580" w:lineRule="exact"/>
        <w:ind w:firstLine="640"/>
        <w:rPr>
          <w:rFonts w:ascii="仿宋" w:hAnsi="仿宋" w:eastAsia="仿宋"/>
          <w:color w:val="000000"/>
        </w:rPr>
      </w:pPr>
      <w:r>
        <w:rPr>
          <w:rFonts w:hint="eastAsia" w:ascii="仿宋" w:hAnsi="仿宋" w:eastAsia="仿宋"/>
          <w:color w:val="000000"/>
        </w:rPr>
        <w:t>（十三）负责全市矿产资源保护与监督工作。拟订全市矿产资源政策和规划并组织实施。负责矿产资源储量管理，负责压覆矿产资源审批。监督指导矿产资源合理利用和保护。监督指导地质资料管理。</w:t>
      </w:r>
    </w:p>
    <w:p>
      <w:pPr>
        <w:spacing w:line="580" w:lineRule="exact"/>
        <w:ind w:firstLine="640"/>
        <w:rPr>
          <w:rFonts w:ascii="仿宋" w:hAnsi="仿宋" w:eastAsia="仿宋"/>
          <w:color w:val="000000"/>
        </w:rPr>
      </w:pPr>
      <w:r>
        <w:rPr>
          <w:rFonts w:hint="eastAsia" w:ascii="仿宋" w:hAnsi="仿宋" w:eastAsia="仿宋"/>
          <w:color w:val="000000"/>
        </w:rPr>
        <w:t>（十四）负责全市测绘地理信息管理工作。负责基础测绘、地理国情监测及测绘行业管理。负责测绘资质资格与信用管理，监督管理地理信息安全和市场秩序。负责地理信息公共服务管理。负责测量标志保护。会同有关部门规范和监管卫星导航定位基准站的建设及运行维护。</w:t>
      </w:r>
    </w:p>
    <w:p>
      <w:pPr>
        <w:spacing w:line="580" w:lineRule="exact"/>
        <w:ind w:firstLine="640"/>
        <w:rPr>
          <w:rFonts w:ascii="仿宋" w:hAnsi="仿宋" w:eastAsia="仿宋"/>
          <w:color w:val="000000"/>
        </w:rPr>
      </w:pPr>
      <w:r>
        <w:rPr>
          <w:rFonts w:hint="eastAsia" w:ascii="仿宋" w:hAnsi="仿宋" w:eastAsia="仿宋"/>
          <w:color w:val="000000"/>
        </w:rPr>
        <w:t>（十五）推动全市自然资源和规划领域科技发展。制定并实施自然资源和规划领域科技创新发展、人才培养规划和计划。贯彻执行技术标准、规程规范并监督实施。组织实施重大科技工程及创新能力建设，推进自然资源和规划信息化与信息资料的公共服务。开展全市自然资源和规划领域对外合作。</w:t>
      </w:r>
    </w:p>
    <w:p>
      <w:pPr>
        <w:spacing w:line="580" w:lineRule="exact"/>
        <w:ind w:firstLine="640"/>
        <w:rPr>
          <w:rFonts w:ascii="仿宋" w:hAnsi="仿宋" w:eastAsia="仿宋"/>
          <w:color w:val="000000"/>
        </w:rPr>
      </w:pPr>
      <w:r>
        <w:rPr>
          <w:rFonts w:hint="eastAsia" w:ascii="仿宋" w:hAnsi="仿宋" w:eastAsia="仿宋"/>
          <w:color w:val="000000"/>
        </w:rPr>
        <w:t>（十六）根据市委、市政府授权或国家和省自然资源督察机构安排，对县（市）区人民政府落实党中央、国务院和省委、省政府以及市委、市政府关于自然资源和国土空间规划的重大方针政策、决策部署及法律法规执行情况进行督察。查处自然资源开发利用和国土空间规划及测绘重大违法案件。</w:t>
      </w:r>
    </w:p>
    <w:p>
      <w:pPr>
        <w:spacing w:line="580" w:lineRule="exact"/>
        <w:ind w:firstLine="640"/>
        <w:rPr>
          <w:rFonts w:ascii="仿宋" w:hAnsi="仿宋" w:eastAsia="仿宋"/>
          <w:color w:val="000000"/>
        </w:rPr>
      </w:pPr>
      <w:r>
        <w:rPr>
          <w:rFonts w:hint="eastAsia" w:ascii="仿宋" w:hAnsi="仿宋" w:eastAsia="仿宋"/>
          <w:color w:val="000000"/>
        </w:rPr>
        <w:t>（十七）承担市城乡规划委员会及市自然资源管理委员会日常工作。</w:t>
      </w:r>
    </w:p>
    <w:p>
      <w:pPr>
        <w:spacing w:line="580" w:lineRule="exact"/>
        <w:ind w:firstLine="640"/>
        <w:rPr>
          <w:rFonts w:ascii="仿宋" w:hAnsi="仿宋" w:eastAsia="仿宋"/>
          <w:color w:val="000000"/>
        </w:rPr>
      </w:pPr>
      <w:r>
        <w:rPr>
          <w:rFonts w:hint="eastAsia" w:ascii="仿宋" w:hAnsi="仿宋" w:eastAsia="仿宋"/>
          <w:color w:val="000000"/>
        </w:rPr>
        <w:t>（十八）完成市委、市政府交办的其他任务。</w:t>
      </w:r>
    </w:p>
    <w:p>
      <w:pPr>
        <w:widowControl/>
        <w:ind w:firstLine="643"/>
        <w:jc w:val="left"/>
        <w:rPr>
          <w:rFonts w:ascii="仿宋" w:hAnsi="仿宋" w:eastAsia="仿宋"/>
        </w:rPr>
      </w:pPr>
      <w:r>
        <w:rPr>
          <w:rFonts w:hint="eastAsia" w:ascii="宋体" w:hAnsi="宋体" w:cs="宋体"/>
          <w:b/>
          <w:bCs/>
          <w:kern w:val="0"/>
        </w:rPr>
        <w:t>二、机构设置</w:t>
      </w:r>
      <w:r>
        <w:rPr>
          <w:rFonts w:ascii="宋体" w:hAnsi="宋体" w:cs="宋体"/>
          <w:kern w:val="0"/>
        </w:rPr>
        <w:br/>
      </w:r>
      <w:r>
        <w:rPr>
          <w:rFonts w:hint="eastAsia" w:ascii="仿宋" w:hAnsi="仿宋" w:eastAsia="仿宋" w:cs="宋体"/>
          <w:kern w:val="0"/>
        </w:rPr>
        <w:t xml:space="preserve">    </w:t>
      </w:r>
      <w:r>
        <w:rPr>
          <w:rFonts w:ascii="仿宋" w:hAnsi="仿宋" w:eastAsia="仿宋" w:cs="宋体"/>
          <w:kern w:val="0"/>
        </w:rPr>
        <w:t>市自然资源和规划局部门预算包括局机关本级预算和所属事业单位预算。</w:t>
      </w:r>
      <w:r>
        <w:rPr>
          <w:rFonts w:ascii="仿宋" w:hAnsi="仿宋" w:eastAsia="仿宋" w:cs="宋体"/>
          <w:kern w:val="0"/>
        </w:rPr>
        <w:br/>
      </w:r>
      <w:r>
        <w:rPr>
          <w:rFonts w:hint="eastAsia" w:ascii="仿宋" w:hAnsi="仿宋" w:eastAsia="仿宋" w:cs="宋体"/>
          <w:kern w:val="0"/>
        </w:rPr>
        <w:t xml:space="preserve">    </w:t>
      </w:r>
      <w:r>
        <w:rPr>
          <w:rFonts w:ascii="仿宋" w:hAnsi="仿宋" w:eastAsia="仿宋" w:cs="宋体"/>
          <w:kern w:val="0"/>
        </w:rPr>
        <w:t>1、</w:t>
      </w:r>
      <w:r>
        <w:rPr>
          <w:rFonts w:hint="eastAsia" w:ascii="仿宋" w:hAnsi="仿宋" w:eastAsia="仿宋" w:cs="宋体"/>
          <w:kern w:val="0"/>
        </w:rPr>
        <w:t>三门峡市自然资源和规划</w:t>
      </w:r>
      <w:r>
        <w:rPr>
          <w:rFonts w:ascii="仿宋" w:hAnsi="仿宋" w:eastAsia="仿宋" w:cs="宋体"/>
          <w:kern w:val="0"/>
        </w:rPr>
        <w:t>局机关本级</w:t>
      </w:r>
      <w:r>
        <w:rPr>
          <w:rFonts w:ascii="仿宋" w:hAnsi="仿宋" w:eastAsia="仿宋" w:cs="宋体"/>
          <w:kern w:val="0"/>
        </w:rPr>
        <w:br/>
      </w:r>
      <w:r>
        <w:rPr>
          <w:rFonts w:hint="eastAsia" w:ascii="仿宋" w:hAnsi="仿宋" w:eastAsia="仿宋" w:cs="宋体"/>
          <w:kern w:val="0"/>
        </w:rPr>
        <w:t xml:space="preserve">    </w:t>
      </w:r>
      <w:r>
        <w:rPr>
          <w:rFonts w:ascii="仿宋" w:hAnsi="仿宋" w:eastAsia="仿宋" w:cs="宋体"/>
          <w:kern w:val="0"/>
        </w:rPr>
        <w:t>2、</w:t>
      </w:r>
      <w:r>
        <w:rPr>
          <w:rFonts w:hint="eastAsia" w:ascii="仿宋" w:hAnsi="仿宋" w:eastAsia="仿宋" w:cs="宋体"/>
          <w:kern w:val="0"/>
        </w:rPr>
        <w:t>三门峡</w:t>
      </w:r>
      <w:r>
        <w:rPr>
          <w:rFonts w:hint="eastAsia" w:ascii="仿宋" w:hAnsi="仿宋" w:eastAsia="仿宋"/>
        </w:rPr>
        <w:t>市矿业开发中心</w:t>
      </w:r>
      <w:r>
        <w:rPr>
          <w:rFonts w:ascii="仿宋" w:hAnsi="仿宋" w:eastAsia="仿宋" w:cs="宋体"/>
          <w:kern w:val="0"/>
        </w:rPr>
        <w:br/>
      </w:r>
      <w:r>
        <w:rPr>
          <w:rFonts w:hint="eastAsia" w:ascii="仿宋" w:hAnsi="仿宋" w:eastAsia="仿宋" w:cs="宋体"/>
          <w:kern w:val="0"/>
        </w:rPr>
        <w:t xml:space="preserve">    </w:t>
      </w:r>
      <w:r>
        <w:rPr>
          <w:rFonts w:ascii="仿宋" w:hAnsi="仿宋" w:eastAsia="仿宋" w:cs="宋体"/>
          <w:kern w:val="0"/>
        </w:rPr>
        <w:t>3、</w:t>
      </w:r>
      <w:r>
        <w:rPr>
          <w:rFonts w:hint="eastAsia" w:ascii="仿宋" w:hAnsi="仿宋" w:eastAsia="仿宋" w:cs="宋体"/>
          <w:kern w:val="0"/>
        </w:rPr>
        <w:t>三门峡市</w:t>
      </w:r>
      <w:r>
        <w:rPr>
          <w:rFonts w:hint="eastAsia" w:ascii="仿宋" w:hAnsi="仿宋" w:eastAsia="仿宋"/>
        </w:rPr>
        <w:t>市土地开发储备整理中心</w:t>
      </w:r>
    </w:p>
    <w:p>
      <w:pPr>
        <w:widowControl/>
        <w:ind w:firstLine="640"/>
        <w:jc w:val="left"/>
        <w:rPr>
          <w:rFonts w:ascii="仿宋" w:hAnsi="仿宋" w:eastAsia="仿宋"/>
        </w:rPr>
      </w:pPr>
      <w:r>
        <w:rPr>
          <w:rFonts w:hint="eastAsia" w:ascii="仿宋" w:hAnsi="仿宋" w:eastAsia="仿宋" w:cs="宋体"/>
          <w:kern w:val="0"/>
        </w:rPr>
        <w:t>4、三门峡</w:t>
      </w:r>
      <w:r>
        <w:rPr>
          <w:rFonts w:hint="eastAsia" w:ascii="仿宋" w:hAnsi="仿宋" w:eastAsia="仿宋"/>
        </w:rPr>
        <w:t>市城乡规划监察支队</w:t>
      </w:r>
    </w:p>
    <w:p>
      <w:pPr>
        <w:widowControl/>
        <w:ind w:firstLine="640"/>
        <w:jc w:val="left"/>
        <w:rPr>
          <w:rFonts w:ascii="仿宋" w:hAnsi="仿宋" w:eastAsia="仿宋"/>
        </w:rPr>
      </w:pPr>
      <w:r>
        <w:rPr>
          <w:rFonts w:hint="eastAsia" w:ascii="仿宋" w:hAnsi="仿宋" w:eastAsia="仿宋"/>
        </w:rPr>
        <w:t>5、</w:t>
      </w:r>
      <w:r>
        <w:rPr>
          <w:rFonts w:hint="eastAsia" w:ascii="仿宋" w:hAnsi="仿宋" w:eastAsia="仿宋" w:cs="宋体"/>
          <w:kern w:val="0"/>
        </w:rPr>
        <w:t>三门峡</w:t>
      </w:r>
      <w:r>
        <w:rPr>
          <w:rFonts w:hint="eastAsia" w:ascii="仿宋" w:hAnsi="仿宋" w:eastAsia="仿宋"/>
        </w:rPr>
        <w:t>市国土资源执法监察大队</w:t>
      </w:r>
    </w:p>
    <w:p>
      <w:pPr>
        <w:widowControl/>
        <w:ind w:firstLine="640"/>
        <w:jc w:val="left"/>
        <w:rPr>
          <w:rFonts w:ascii="仿宋" w:hAnsi="仿宋" w:eastAsia="仿宋"/>
        </w:rPr>
      </w:pPr>
      <w:r>
        <w:rPr>
          <w:rFonts w:hint="eastAsia" w:ascii="仿宋" w:hAnsi="仿宋" w:eastAsia="仿宋"/>
        </w:rPr>
        <w:t>6、</w:t>
      </w:r>
      <w:r>
        <w:rPr>
          <w:rFonts w:hint="eastAsia" w:ascii="仿宋" w:hAnsi="仿宋" w:eastAsia="仿宋" w:cs="宋体"/>
          <w:kern w:val="0"/>
        </w:rPr>
        <w:t>三门峡</w:t>
      </w:r>
      <w:r>
        <w:rPr>
          <w:rFonts w:hint="eastAsia" w:ascii="仿宋" w:hAnsi="仿宋" w:eastAsia="仿宋"/>
        </w:rPr>
        <w:t>市不动产登记中心</w:t>
      </w:r>
    </w:p>
    <w:p>
      <w:pPr>
        <w:widowControl/>
        <w:ind w:firstLine="640"/>
        <w:jc w:val="left"/>
        <w:rPr>
          <w:rFonts w:ascii="仿宋" w:hAnsi="仿宋" w:eastAsia="仿宋"/>
        </w:rPr>
      </w:pPr>
      <w:r>
        <w:rPr>
          <w:rFonts w:hint="eastAsia" w:ascii="仿宋" w:hAnsi="仿宋" w:eastAsia="仿宋"/>
        </w:rPr>
        <w:t>7、</w:t>
      </w:r>
      <w:r>
        <w:rPr>
          <w:rFonts w:hint="eastAsia" w:ascii="仿宋" w:hAnsi="仿宋" w:eastAsia="仿宋" w:cs="宋体"/>
          <w:kern w:val="0"/>
        </w:rPr>
        <w:t>三门峡</w:t>
      </w:r>
      <w:r>
        <w:rPr>
          <w:rFonts w:hint="eastAsia" w:ascii="仿宋" w:hAnsi="仿宋" w:eastAsia="仿宋"/>
        </w:rPr>
        <w:t>市城乡规划中心</w:t>
      </w:r>
    </w:p>
    <w:p>
      <w:pPr>
        <w:widowControl/>
        <w:ind w:firstLine="640"/>
        <w:jc w:val="left"/>
        <w:rPr>
          <w:rFonts w:ascii="仿宋" w:hAnsi="仿宋" w:eastAsia="仿宋"/>
        </w:rPr>
      </w:pPr>
      <w:r>
        <w:rPr>
          <w:rFonts w:hint="eastAsia" w:ascii="仿宋" w:hAnsi="仿宋" w:eastAsia="仿宋"/>
        </w:rPr>
        <w:t>8、</w:t>
      </w:r>
      <w:r>
        <w:rPr>
          <w:rFonts w:hint="eastAsia" w:ascii="仿宋" w:hAnsi="仿宋" w:eastAsia="仿宋" w:cs="宋体"/>
          <w:kern w:val="0"/>
        </w:rPr>
        <w:t>三门峡市</w:t>
      </w:r>
      <w:r>
        <w:rPr>
          <w:rFonts w:hint="eastAsia" w:ascii="仿宋" w:hAnsi="仿宋" w:eastAsia="仿宋"/>
        </w:rPr>
        <w:t>经济开发区自然资源和规划服务中心</w:t>
      </w:r>
    </w:p>
    <w:p>
      <w:pPr>
        <w:widowControl/>
        <w:ind w:firstLine="640"/>
        <w:jc w:val="left"/>
        <w:rPr>
          <w:rFonts w:ascii="仿宋" w:hAnsi="仿宋" w:eastAsia="仿宋" w:cs="宋体"/>
          <w:kern w:val="0"/>
        </w:rPr>
      </w:pPr>
      <w:r>
        <w:rPr>
          <w:rFonts w:hint="eastAsia" w:ascii="仿宋" w:hAnsi="仿宋" w:eastAsia="仿宋"/>
        </w:rPr>
        <w:t>9、</w:t>
      </w:r>
      <w:r>
        <w:rPr>
          <w:rFonts w:hint="eastAsia" w:ascii="仿宋" w:hAnsi="仿宋" w:eastAsia="仿宋" w:cs="宋体"/>
          <w:kern w:val="0"/>
        </w:rPr>
        <w:t>三门峡市</w:t>
      </w:r>
      <w:r>
        <w:rPr>
          <w:rFonts w:hint="eastAsia" w:ascii="仿宋" w:hAnsi="仿宋" w:eastAsia="仿宋"/>
        </w:rPr>
        <w:t>城乡一体化示范区自然资源和规划服务中心</w:t>
      </w:r>
    </w:p>
    <w:p>
      <w:pPr>
        <w:kinsoku w:val="0"/>
        <w:overflowPunct w:val="0"/>
        <w:adjustRightInd w:val="0"/>
        <w:snapToGrid w:val="0"/>
        <w:spacing w:line="360" w:lineRule="auto"/>
        <w:ind w:firstLine="0" w:firstLineChars="0"/>
        <w:jc w:val="center"/>
        <w:rPr>
          <w:rFonts w:ascii="仿宋" w:hAnsi="仿宋" w:eastAsia="仿宋" w:cs="黑体"/>
        </w:rPr>
      </w:pPr>
    </w:p>
    <w:p>
      <w:pPr>
        <w:kinsoku w:val="0"/>
        <w:overflowPunct w:val="0"/>
        <w:adjustRightInd w:val="0"/>
        <w:snapToGrid w:val="0"/>
        <w:spacing w:line="360" w:lineRule="auto"/>
        <w:ind w:firstLine="0" w:firstLineChars="0"/>
        <w:rPr>
          <w:rFonts w:ascii="仿宋" w:hAnsi="仿宋" w:eastAsia="仿宋" w:cs="黑体"/>
        </w:rPr>
      </w:pPr>
    </w:p>
    <w:p>
      <w:pPr>
        <w:kinsoku w:val="0"/>
        <w:overflowPunct w:val="0"/>
        <w:adjustRightInd w:val="0"/>
        <w:snapToGrid w:val="0"/>
        <w:spacing w:line="240" w:lineRule="auto"/>
        <w:ind w:firstLine="0" w:firstLineChars="0"/>
        <w:jc w:val="both"/>
        <w:rPr>
          <w:rFonts w:hint="eastAsia" w:ascii="黑体" w:hAnsi="黑体" w:eastAsia="黑体" w:cs="黑体"/>
          <w:sz w:val="48"/>
          <w:szCs w:val="48"/>
        </w:rPr>
      </w:pPr>
    </w:p>
    <w:p>
      <w:pPr>
        <w:kinsoku w:val="0"/>
        <w:overflowPunct w:val="0"/>
        <w:adjustRightInd w:val="0"/>
        <w:snapToGrid w:val="0"/>
        <w:spacing w:line="240" w:lineRule="auto"/>
        <w:ind w:firstLine="0" w:firstLineChars="0"/>
        <w:jc w:val="center"/>
        <w:rPr>
          <w:rFonts w:ascii="黑体" w:hAnsi="黑体" w:eastAsia="黑体" w:cs="黑体"/>
          <w:sz w:val="48"/>
          <w:szCs w:val="48"/>
        </w:rPr>
      </w:pPr>
      <w:r>
        <w:rPr>
          <w:rFonts w:hint="eastAsia" w:ascii="黑体" w:hAnsi="黑体" w:eastAsia="黑体" w:cs="黑体"/>
          <w:sz w:val="48"/>
          <w:szCs w:val="48"/>
        </w:rPr>
        <w:t>第二部分</w:t>
      </w:r>
    </w:p>
    <w:p>
      <w:pPr>
        <w:kinsoku w:val="0"/>
        <w:overflowPunct w:val="0"/>
        <w:adjustRightInd w:val="0"/>
        <w:snapToGrid w:val="0"/>
        <w:spacing w:line="240" w:lineRule="auto"/>
        <w:ind w:firstLine="0" w:firstLineChars="0"/>
        <w:jc w:val="center"/>
        <w:rPr>
          <w:rFonts w:ascii="仿宋" w:hAnsi="仿宋" w:eastAsia="仿宋" w:cs="黑体"/>
        </w:rPr>
      </w:pPr>
      <w:r>
        <w:rPr>
          <w:rFonts w:hint="eastAsia" w:ascii="黑体" w:hAnsi="黑体" w:eastAsia="黑体" w:cs="黑体"/>
          <w:sz w:val="48"/>
          <w:szCs w:val="48"/>
        </w:rPr>
        <w:t>2019年度部门决算表</w:t>
      </w:r>
    </w:p>
    <w:p>
      <w:pPr>
        <w:kinsoku w:val="0"/>
        <w:overflowPunct w:val="0"/>
        <w:adjustRightInd w:val="0"/>
        <w:snapToGrid w:val="0"/>
        <w:spacing w:line="240" w:lineRule="auto"/>
        <w:ind w:left="102" w:right="522" w:firstLine="960"/>
        <w:jc w:val="center"/>
        <w:rPr>
          <w:rFonts w:hint="eastAsia" w:ascii="黑体" w:hAnsi="黑体" w:eastAsia="黑体" w:cs="黑体"/>
          <w:sz w:val="48"/>
          <w:szCs w:val="48"/>
        </w:rPr>
      </w:pPr>
    </w:p>
    <w:p>
      <w:pPr>
        <w:ind w:firstLine="640"/>
        <w:jc w:val="left"/>
        <w:rPr>
          <w:rFonts w:ascii="仿宋" w:hAnsi="仿宋" w:eastAsia="仿宋" w:cs="仿宋"/>
          <w:color w:val="000000"/>
        </w:rPr>
      </w:pPr>
      <w:r>
        <w:rPr>
          <w:rFonts w:hint="eastAsia" w:ascii="仿宋" w:hAnsi="仿宋" w:eastAsia="仿宋" w:cs="仿宋"/>
          <w:color w:val="000000"/>
        </w:rPr>
        <w:t>一、收入支出决算总表</w:t>
      </w:r>
    </w:p>
    <w:p>
      <w:pPr>
        <w:ind w:firstLine="640"/>
        <w:jc w:val="left"/>
        <w:rPr>
          <w:rFonts w:ascii="仿宋" w:hAnsi="仿宋" w:eastAsia="仿宋" w:cs="仿宋"/>
          <w:color w:val="000000"/>
        </w:rPr>
      </w:pPr>
      <w:r>
        <w:rPr>
          <w:rFonts w:hint="eastAsia" w:ascii="仿宋" w:hAnsi="仿宋" w:eastAsia="仿宋" w:cs="仿宋"/>
          <w:color w:val="000000"/>
        </w:rPr>
        <w:t>二、收入决算表</w:t>
      </w:r>
    </w:p>
    <w:p>
      <w:pPr>
        <w:ind w:firstLine="640"/>
        <w:jc w:val="left"/>
        <w:rPr>
          <w:rFonts w:ascii="仿宋" w:hAnsi="仿宋" w:eastAsia="仿宋" w:cs="仿宋"/>
          <w:color w:val="000000"/>
        </w:rPr>
      </w:pPr>
      <w:r>
        <w:rPr>
          <w:rFonts w:hint="eastAsia" w:ascii="仿宋" w:hAnsi="仿宋" w:eastAsia="仿宋" w:cs="仿宋"/>
          <w:color w:val="000000"/>
        </w:rPr>
        <w:t>三、支出决算表</w:t>
      </w:r>
    </w:p>
    <w:p>
      <w:pPr>
        <w:ind w:firstLine="640"/>
        <w:jc w:val="left"/>
        <w:rPr>
          <w:rFonts w:ascii="仿宋" w:hAnsi="仿宋" w:eastAsia="仿宋" w:cs="仿宋"/>
          <w:color w:val="000000"/>
        </w:rPr>
      </w:pPr>
      <w:r>
        <w:rPr>
          <w:rFonts w:hint="eastAsia" w:ascii="仿宋" w:hAnsi="仿宋" w:eastAsia="仿宋" w:cs="仿宋"/>
          <w:color w:val="000000"/>
        </w:rPr>
        <w:t>四、财政拨款收入支出决算总表</w:t>
      </w:r>
    </w:p>
    <w:p>
      <w:pPr>
        <w:ind w:firstLine="640"/>
        <w:jc w:val="left"/>
        <w:rPr>
          <w:rFonts w:ascii="仿宋" w:hAnsi="仿宋" w:eastAsia="仿宋" w:cs="仿宋"/>
          <w:color w:val="000000"/>
        </w:rPr>
      </w:pPr>
      <w:r>
        <w:rPr>
          <w:rFonts w:hint="eastAsia" w:ascii="仿宋" w:hAnsi="仿宋" w:eastAsia="仿宋" w:cs="仿宋"/>
          <w:color w:val="000000"/>
        </w:rPr>
        <w:t>五、一般公共预算财政拨款支出决算表</w:t>
      </w:r>
    </w:p>
    <w:p>
      <w:pPr>
        <w:ind w:firstLine="640"/>
        <w:jc w:val="left"/>
        <w:rPr>
          <w:rFonts w:ascii="仿宋" w:hAnsi="仿宋" w:eastAsia="仿宋" w:cs="仿宋"/>
          <w:color w:val="000000"/>
        </w:rPr>
      </w:pPr>
      <w:r>
        <w:rPr>
          <w:rFonts w:hint="eastAsia" w:ascii="仿宋" w:hAnsi="仿宋" w:eastAsia="仿宋" w:cs="仿宋"/>
          <w:color w:val="000000"/>
        </w:rPr>
        <w:t>六、一般公共预算财政拨款基本支出决算表</w:t>
      </w:r>
    </w:p>
    <w:p>
      <w:pPr>
        <w:ind w:firstLine="640"/>
        <w:jc w:val="left"/>
        <w:rPr>
          <w:rFonts w:ascii="仿宋" w:hAnsi="仿宋" w:eastAsia="仿宋" w:cs="仿宋"/>
          <w:color w:val="000000"/>
        </w:rPr>
      </w:pPr>
      <w:r>
        <w:rPr>
          <w:rFonts w:hint="eastAsia" w:ascii="仿宋" w:hAnsi="仿宋" w:eastAsia="仿宋" w:cs="仿宋"/>
          <w:color w:val="000000"/>
        </w:rPr>
        <w:t>七、一般公共预算财政拨款“三公”经费支出决算表</w:t>
      </w:r>
    </w:p>
    <w:p>
      <w:pPr>
        <w:ind w:firstLine="640"/>
        <w:jc w:val="left"/>
        <w:rPr>
          <w:rFonts w:ascii="仿宋" w:hAnsi="仿宋" w:eastAsia="仿宋" w:cs="仿宋"/>
          <w:color w:val="000000"/>
        </w:rPr>
      </w:pPr>
      <w:r>
        <w:rPr>
          <w:rFonts w:hint="eastAsia" w:ascii="仿宋" w:hAnsi="仿宋" w:eastAsia="仿宋" w:cs="仿宋"/>
          <w:color w:val="000000"/>
        </w:rPr>
        <w:t>八、政府性基金预算财政拨款收入支出决算表</w:t>
      </w:r>
    </w:p>
    <w:p>
      <w:pPr>
        <w:ind w:firstLine="640"/>
        <w:jc w:val="left"/>
        <w:rPr>
          <w:rFonts w:ascii="仿宋" w:hAnsi="仿宋" w:eastAsia="仿宋" w:cs="仿宋"/>
          <w:color w:val="000000"/>
        </w:rPr>
      </w:pPr>
      <w:r>
        <w:rPr>
          <w:rFonts w:hint="eastAsia" w:ascii="仿宋" w:hAnsi="仿宋" w:eastAsia="仿宋" w:cs="仿宋"/>
          <w:color w:val="000000"/>
        </w:rPr>
        <w:t>（详见附件）</w:t>
      </w:r>
    </w:p>
    <w:p>
      <w:pPr>
        <w:kinsoku w:val="0"/>
        <w:overflowPunct w:val="0"/>
        <w:adjustRightInd w:val="0"/>
        <w:snapToGrid w:val="0"/>
        <w:spacing w:line="240" w:lineRule="auto"/>
        <w:ind w:left="102" w:right="522" w:firstLine="960"/>
        <w:jc w:val="center"/>
        <w:rPr>
          <w:rFonts w:ascii="黑体" w:hAnsi="黑体" w:eastAsia="黑体" w:cs="黑体"/>
          <w:sz w:val="48"/>
          <w:szCs w:val="48"/>
        </w:rPr>
      </w:pPr>
    </w:p>
    <w:p>
      <w:pPr>
        <w:kinsoku w:val="0"/>
        <w:overflowPunct w:val="0"/>
        <w:adjustRightInd w:val="0"/>
        <w:snapToGrid w:val="0"/>
        <w:spacing w:line="240" w:lineRule="auto"/>
        <w:ind w:left="102" w:right="522" w:firstLine="960"/>
        <w:jc w:val="center"/>
        <w:rPr>
          <w:rFonts w:ascii="黑体" w:hAnsi="黑体" w:eastAsia="黑体" w:cs="黑体"/>
          <w:sz w:val="48"/>
          <w:szCs w:val="48"/>
        </w:rPr>
      </w:pPr>
    </w:p>
    <w:p>
      <w:pPr>
        <w:kinsoku w:val="0"/>
        <w:overflowPunct w:val="0"/>
        <w:adjustRightInd w:val="0"/>
        <w:snapToGrid w:val="0"/>
        <w:spacing w:line="240" w:lineRule="auto"/>
        <w:ind w:left="102" w:right="522" w:firstLine="960"/>
        <w:jc w:val="center"/>
        <w:rPr>
          <w:rFonts w:ascii="黑体" w:hAnsi="黑体" w:eastAsia="黑体" w:cs="黑体"/>
          <w:sz w:val="48"/>
          <w:szCs w:val="48"/>
        </w:rPr>
      </w:pPr>
    </w:p>
    <w:p>
      <w:pPr>
        <w:kinsoku w:val="0"/>
        <w:overflowPunct w:val="0"/>
        <w:adjustRightInd w:val="0"/>
        <w:snapToGrid w:val="0"/>
        <w:spacing w:line="240" w:lineRule="auto"/>
        <w:ind w:left="102" w:right="522" w:firstLine="960"/>
        <w:jc w:val="center"/>
        <w:rPr>
          <w:rFonts w:ascii="黑体" w:hAnsi="黑体" w:eastAsia="黑体" w:cs="黑体"/>
          <w:sz w:val="48"/>
          <w:szCs w:val="48"/>
        </w:rPr>
      </w:pPr>
    </w:p>
    <w:p>
      <w:pPr>
        <w:kinsoku w:val="0"/>
        <w:overflowPunct w:val="0"/>
        <w:adjustRightInd w:val="0"/>
        <w:snapToGrid w:val="0"/>
        <w:spacing w:line="240" w:lineRule="auto"/>
        <w:ind w:left="102" w:right="522" w:firstLine="960"/>
        <w:jc w:val="center"/>
        <w:rPr>
          <w:rFonts w:ascii="黑体" w:hAnsi="黑体" w:eastAsia="黑体" w:cs="黑体"/>
          <w:sz w:val="48"/>
          <w:szCs w:val="48"/>
        </w:rPr>
      </w:pPr>
    </w:p>
    <w:p>
      <w:pPr>
        <w:kinsoku w:val="0"/>
        <w:overflowPunct w:val="0"/>
        <w:adjustRightInd w:val="0"/>
        <w:snapToGrid w:val="0"/>
        <w:spacing w:line="240" w:lineRule="auto"/>
        <w:ind w:left="102" w:right="522" w:firstLine="960"/>
        <w:jc w:val="center"/>
        <w:rPr>
          <w:rFonts w:ascii="黑体" w:hAnsi="黑体" w:eastAsia="黑体" w:cs="黑体"/>
          <w:sz w:val="48"/>
          <w:szCs w:val="48"/>
        </w:rPr>
      </w:pPr>
    </w:p>
    <w:p>
      <w:pPr>
        <w:kinsoku w:val="0"/>
        <w:overflowPunct w:val="0"/>
        <w:adjustRightInd w:val="0"/>
        <w:snapToGrid w:val="0"/>
        <w:spacing w:line="240" w:lineRule="auto"/>
        <w:ind w:left="102" w:right="522" w:firstLine="960"/>
        <w:jc w:val="center"/>
        <w:rPr>
          <w:rFonts w:hint="eastAsia" w:ascii="黑体" w:hAnsi="黑体" w:eastAsia="黑体" w:cs="黑体"/>
          <w:sz w:val="48"/>
          <w:szCs w:val="48"/>
        </w:rPr>
      </w:pPr>
    </w:p>
    <w:p>
      <w:pPr>
        <w:kinsoku w:val="0"/>
        <w:overflowPunct w:val="0"/>
        <w:adjustRightInd w:val="0"/>
        <w:snapToGrid w:val="0"/>
        <w:spacing w:line="240" w:lineRule="auto"/>
        <w:ind w:left="102" w:right="522" w:firstLine="960"/>
        <w:jc w:val="center"/>
        <w:rPr>
          <w:rFonts w:hint="eastAsia" w:ascii="黑体" w:hAnsi="黑体" w:eastAsia="黑体" w:cs="黑体"/>
          <w:sz w:val="48"/>
          <w:szCs w:val="48"/>
        </w:rPr>
      </w:pPr>
    </w:p>
    <w:p>
      <w:pPr>
        <w:kinsoku w:val="0"/>
        <w:overflowPunct w:val="0"/>
        <w:adjustRightInd w:val="0"/>
        <w:snapToGrid w:val="0"/>
        <w:spacing w:line="240" w:lineRule="auto"/>
        <w:ind w:left="102" w:right="522" w:firstLine="960"/>
        <w:jc w:val="center"/>
        <w:rPr>
          <w:rFonts w:hint="eastAsia" w:ascii="黑体" w:hAnsi="黑体" w:eastAsia="黑体" w:cs="黑体"/>
          <w:sz w:val="48"/>
          <w:szCs w:val="48"/>
        </w:rPr>
      </w:pPr>
    </w:p>
    <w:p>
      <w:pPr>
        <w:kinsoku w:val="0"/>
        <w:overflowPunct w:val="0"/>
        <w:adjustRightInd w:val="0"/>
        <w:snapToGrid w:val="0"/>
        <w:spacing w:line="240" w:lineRule="auto"/>
        <w:ind w:left="0" w:leftChars="0" w:right="522" w:firstLine="0" w:firstLineChars="0"/>
        <w:jc w:val="both"/>
        <w:rPr>
          <w:rFonts w:hint="eastAsia" w:ascii="黑体" w:hAnsi="黑体" w:eastAsia="黑体" w:cs="黑体"/>
          <w:sz w:val="48"/>
          <w:szCs w:val="48"/>
        </w:rPr>
      </w:pPr>
    </w:p>
    <w:p>
      <w:pPr>
        <w:kinsoku w:val="0"/>
        <w:overflowPunct w:val="0"/>
        <w:adjustRightInd w:val="0"/>
        <w:snapToGrid w:val="0"/>
        <w:spacing w:line="240" w:lineRule="auto"/>
        <w:ind w:left="102" w:right="522" w:firstLine="960"/>
        <w:jc w:val="center"/>
        <w:rPr>
          <w:rFonts w:ascii="黑体" w:hAnsi="黑体" w:eastAsia="黑体" w:cs="黑体"/>
          <w:sz w:val="48"/>
          <w:szCs w:val="48"/>
        </w:rPr>
      </w:pPr>
      <w:r>
        <w:rPr>
          <w:rFonts w:hint="eastAsia" w:ascii="黑体" w:hAnsi="黑体" w:eastAsia="黑体" w:cs="黑体"/>
          <w:sz w:val="48"/>
          <w:szCs w:val="48"/>
        </w:rPr>
        <w:t>第三部分</w:t>
      </w:r>
    </w:p>
    <w:p>
      <w:pPr>
        <w:kinsoku w:val="0"/>
        <w:overflowPunct w:val="0"/>
        <w:adjustRightInd w:val="0"/>
        <w:snapToGrid w:val="0"/>
        <w:spacing w:line="240" w:lineRule="auto"/>
        <w:ind w:left="102" w:right="522" w:firstLine="960"/>
        <w:jc w:val="center"/>
        <w:rPr>
          <w:rFonts w:ascii="仿宋" w:hAnsi="仿宋" w:eastAsia="仿宋" w:cs="黑体"/>
        </w:rPr>
      </w:pPr>
      <w:r>
        <w:rPr>
          <w:rFonts w:hint="eastAsia" w:ascii="黑体" w:hAnsi="黑体" w:eastAsia="黑体" w:cs="黑体"/>
          <w:sz w:val="48"/>
          <w:szCs w:val="48"/>
        </w:rPr>
        <w:t>2019年度部门决算情况说明</w:t>
      </w:r>
    </w:p>
    <w:p>
      <w:pPr>
        <w:adjustRightInd w:val="0"/>
        <w:snapToGrid w:val="0"/>
        <w:spacing w:line="360" w:lineRule="auto"/>
        <w:ind w:firstLine="640"/>
        <w:rPr>
          <w:rFonts w:ascii="仿宋" w:hAnsi="仿宋" w:eastAsia="仿宋" w:cs="黑体"/>
        </w:rPr>
      </w:pP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一、收入支出决算总体情况说明</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年度收、支总计均为</w:t>
      </w:r>
      <w:r>
        <w:rPr>
          <w:rFonts w:ascii="仿宋" w:hAnsi="仿宋" w:eastAsia="仿宋" w:cs="宋体"/>
          <w:color w:val="000000"/>
          <w:kern w:val="0"/>
          <w:lang w:val="zh-CN"/>
        </w:rPr>
        <w:t>23,419.24</w:t>
      </w:r>
      <w:r>
        <w:rPr>
          <w:rFonts w:hint="eastAsia" w:ascii="仿宋" w:hAnsi="仿宋" w:eastAsia="仿宋" w:cs="宋体"/>
          <w:color w:val="000000"/>
          <w:kern w:val="0"/>
          <w:lang w:val="zh-CN"/>
        </w:rPr>
        <w:t>万元。与上年度相比，收、支总计各减少445.12万元，下降1.90</w:t>
      </w:r>
      <w:r>
        <w:rPr>
          <w:rFonts w:ascii="仿宋" w:hAnsi="仿宋" w:eastAsia="仿宋" w:cs="宋体"/>
          <w:color w:val="000000"/>
          <w:kern w:val="0"/>
          <w:lang w:val="zh-CN"/>
        </w:rPr>
        <w:t>%</w:t>
      </w:r>
      <w:r>
        <w:rPr>
          <w:rFonts w:hint="eastAsia" w:ascii="仿宋" w:hAnsi="仿宋" w:eastAsia="仿宋" w:cs="宋体"/>
          <w:color w:val="000000"/>
          <w:kern w:val="0"/>
          <w:lang w:val="zh-CN"/>
        </w:rPr>
        <w:t>。主要原因是土地出让业务减少。</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二、收入决算情况说明</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年度收入合计</w:t>
      </w:r>
      <w:r>
        <w:rPr>
          <w:rFonts w:ascii="仿宋" w:hAnsi="仿宋" w:eastAsia="仿宋" w:cs="宋体"/>
          <w:color w:val="000000"/>
          <w:kern w:val="0"/>
          <w:lang w:val="zh-CN"/>
        </w:rPr>
        <w:t>17,122.55</w:t>
      </w:r>
      <w:r>
        <w:rPr>
          <w:rFonts w:hint="eastAsia" w:ascii="仿宋" w:hAnsi="仿宋" w:eastAsia="仿宋" w:cs="宋体"/>
          <w:color w:val="000000"/>
          <w:kern w:val="0"/>
          <w:lang w:val="zh-CN"/>
        </w:rPr>
        <w:t>万元，其中：</w:t>
      </w:r>
      <w:r>
        <w:rPr>
          <w:rFonts w:hint="eastAsia" w:ascii="仿宋" w:hAnsi="仿宋" w:eastAsia="仿宋" w:cs="宋体"/>
          <w:color w:val="000000"/>
        </w:rPr>
        <w:t>财政拨款收入</w:t>
      </w:r>
      <w:r>
        <w:rPr>
          <w:rFonts w:ascii="仿宋" w:hAnsi="仿宋" w:eastAsia="仿宋" w:cs="Calibri"/>
          <w:color w:val="000000"/>
        </w:rPr>
        <w:t>16,618.28</w:t>
      </w:r>
      <w:r>
        <w:rPr>
          <w:rFonts w:hint="eastAsia" w:ascii="仿宋" w:hAnsi="仿宋" w:eastAsia="仿宋" w:cs="宋体"/>
          <w:color w:val="000000"/>
        </w:rPr>
        <w:t>万元，占</w:t>
      </w:r>
      <w:r>
        <w:rPr>
          <w:rFonts w:ascii="仿宋" w:hAnsi="仿宋" w:eastAsia="仿宋" w:cs="Calibri"/>
          <w:color w:val="000000"/>
        </w:rPr>
        <w:t>97.05%</w:t>
      </w:r>
      <w:r>
        <w:rPr>
          <w:rFonts w:hint="eastAsia" w:ascii="仿宋" w:hAnsi="仿宋" w:eastAsia="仿宋" w:cs="宋体"/>
          <w:color w:val="000000"/>
        </w:rPr>
        <w:t>；</w:t>
      </w:r>
      <w:r>
        <w:rPr>
          <w:rFonts w:hint="eastAsia" w:ascii="仿宋" w:hAnsi="仿宋" w:eastAsia="仿宋" w:cs="宋体"/>
          <w:color w:val="000000"/>
          <w:kern w:val="0"/>
          <w:lang w:val="zh-CN"/>
        </w:rPr>
        <w:t>上级补助收入</w:t>
      </w:r>
      <w:r>
        <w:rPr>
          <w:rFonts w:ascii="仿宋" w:hAnsi="仿宋" w:eastAsia="仿宋" w:cs="宋体"/>
          <w:color w:val="000000"/>
          <w:kern w:val="0"/>
          <w:lang w:val="zh-CN"/>
        </w:rPr>
        <w:t>0</w:t>
      </w:r>
      <w:r>
        <w:rPr>
          <w:rFonts w:hint="eastAsia" w:ascii="仿宋" w:hAnsi="仿宋" w:eastAsia="仿宋" w:cs="宋体"/>
          <w:color w:val="000000"/>
          <w:kern w:val="0"/>
          <w:lang w:val="zh-CN"/>
        </w:rPr>
        <w:t>万元，占</w:t>
      </w:r>
      <w:r>
        <w:rPr>
          <w:rFonts w:ascii="仿宋" w:hAnsi="仿宋" w:eastAsia="仿宋" w:cs="宋体"/>
          <w:color w:val="000000"/>
          <w:kern w:val="0"/>
          <w:lang w:val="zh-CN"/>
        </w:rPr>
        <w:t>0%</w:t>
      </w:r>
      <w:r>
        <w:rPr>
          <w:rFonts w:hint="eastAsia" w:ascii="仿宋" w:hAnsi="仿宋" w:eastAsia="仿宋" w:cs="宋体"/>
          <w:color w:val="000000"/>
          <w:kern w:val="0"/>
          <w:lang w:val="zh-CN"/>
        </w:rPr>
        <w:t>；事业收入</w:t>
      </w:r>
      <w:r>
        <w:rPr>
          <w:rFonts w:ascii="仿宋" w:hAnsi="仿宋" w:eastAsia="仿宋" w:cs="宋体"/>
          <w:color w:val="000000"/>
          <w:kern w:val="0"/>
          <w:lang w:val="zh-CN"/>
        </w:rPr>
        <w:t>475.25</w:t>
      </w:r>
      <w:r>
        <w:rPr>
          <w:rFonts w:hint="eastAsia" w:ascii="仿宋" w:hAnsi="仿宋" w:eastAsia="仿宋" w:cs="宋体"/>
          <w:color w:val="000000"/>
          <w:kern w:val="0"/>
          <w:lang w:val="zh-CN"/>
        </w:rPr>
        <w:t>万元，占</w:t>
      </w:r>
      <w:r>
        <w:rPr>
          <w:rFonts w:ascii="仿宋" w:hAnsi="仿宋" w:eastAsia="仿宋" w:cs="宋体"/>
          <w:color w:val="000000"/>
          <w:kern w:val="0"/>
          <w:lang w:val="zh-CN"/>
        </w:rPr>
        <w:t>2.78%</w:t>
      </w:r>
      <w:r>
        <w:rPr>
          <w:rFonts w:hint="eastAsia" w:ascii="仿宋" w:hAnsi="仿宋" w:eastAsia="仿宋" w:cs="宋体"/>
          <w:color w:val="000000"/>
          <w:kern w:val="0"/>
          <w:lang w:val="zh-CN"/>
        </w:rPr>
        <w:t>；经营收入</w:t>
      </w:r>
      <w:r>
        <w:rPr>
          <w:rFonts w:ascii="仿宋" w:hAnsi="仿宋" w:eastAsia="仿宋" w:cs="宋体"/>
          <w:color w:val="000000"/>
          <w:kern w:val="0"/>
          <w:lang w:val="zh-CN"/>
        </w:rPr>
        <w:t>0</w:t>
      </w:r>
      <w:r>
        <w:rPr>
          <w:rFonts w:hint="eastAsia" w:ascii="仿宋" w:hAnsi="仿宋" w:eastAsia="仿宋" w:cs="宋体"/>
          <w:color w:val="000000"/>
          <w:kern w:val="0"/>
          <w:lang w:val="zh-CN"/>
        </w:rPr>
        <w:t>万元，占</w:t>
      </w:r>
      <w:r>
        <w:rPr>
          <w:rFonts w:ascii="仿宋" w:hAnsi="仿宋" w:eastAsia="仿宋" w:cs="宋体"/>
          <w:color w:val="000000"/>
          <w:kern w:val="0"/>
          <w:lang w:val="zh-CN"/>
        </w:rPr>
        <w:t>0%</w:t>
      </w:r>
      <w:r>
        <w:rPr>
          <w:rFonts w:hint="eastAsia" w:ascii="仿宋" w:hAnsi="仿宋" w:eastAsia="仿宋" w:cs="宋体"/>
          <w:color w:val="000000"/>
          <w:kern w:val="0"/>
          <w:lang w:val="zh-CN"/>
        </w:rPr>
        <w:t>；附属单位上缴收入</w:t>
      </w:r>
      <w:r>
        <w:rPr>
          <w:rFonts w:ascii="仿宋" w:hAnsi="仿宋" w:eastAsia="仿宋" w:cs="宋体"/>
          <w:color w:val="000000"/>
          <w:kern w:val="0"/>
          <w:lang w:val="zh-CN"/>
        </w:rPr>
        <w:t>0</w:t>
      </w:r>
      <w:r>
        <w:rPr>
          <w:rFonts w:hint="eastAsia" w:ascii="仿宋" w:hAnsi="仿宋" w:eastAsia="仿宋" w:cs="宋体"/>
          <w:color w:val="000000"/>
          <w:kern w:val="0"/>
          <w:lang w:val="zh-CN"/>
        </w:rPr>
        <w:t>万元，占</w:t>
      </w:r>
      <w:r>
        <w:rPr>
          <w:rFonts w:ascii="仿宋" w:hAnsi="仿宋" w:eastAsia="仿宋" w:cs="宋体"/>
          <w:color w:val="000000"/>
          <w:kern w:val="0"/>
          <w:lang w:val="zh-CN"/>
        </w:rPr>
        <w:t>0%</w:t>
      </w:r>
      <w:r>
        <w:rPr>
          <w:rFonts w:hint="eastAsia" w:ascii="仿宋" w:hAnsi="仿宋" w:eastAsia="仿宋" w:cs="宋体"/>
          <w:color w:val="000000"/>
          <w:kern w:val="0"/>
          <w:lang w:val="zh-CN"/>
        </w:rPr>
        <w:t>；其他收入</w:t>
      </w:r>
      <w:r>
        <w:rPr>
          <w:rFonts w:ascii="仿宋" w:hAnsi="仿宋" w:eastAsia="仿宋" w:cs="宋体"/>
          <w:color w:val="000000"/>
          <w:kern w:val="0"/>
          <w:lang w:val="zh-CN"/>
        </w:rPr>
        <w:t>29.03</w:t>
      </w:r>
      <w:r>
        <w:rPr>
          <w:rFonts w:hint="eastAsia" w:ascii="仿宋" w:hAnsi="仿宋" w:eastAsia="仿宋" w:cs="宋体"/>
          <w:color w:val="000000"/>
          <w:kern w:val="0"/>
          <w:lang w:val="zh-CN"/>
        </w:rPr>
        <w:t>万元，占</w:t>
      </w:r>
      <w:r>
        <w:rPr>
          <w:rFonts w:ascii="仿宋" w:hAnsi="仿宋" w:eastAsia="仿宋" w:cs="宋体"/>
          <w:color w:val="000000"/>
          <w:kern w:val="0"/>
          <w:lang w:val="zh-CN"/>
        </w:rPr>
        <w:t>0.17%</w:t>
      </w:r>
      <w:r>
        <w:rPr>
          <w:rFonts w:hint="eastAsia" w:ascii="仿宋" w:hAnsi="仿宋" w:eastAsia="仿宋" w:cs="宋体"/>
          <w:color w:val="000000"/>
          <w:kern w:val="0"/>
          <w:lang w:val="zh-CN"/>
        </w:rPr>
        <w:t>。</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三、支出决算情况说明</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年度支出合计</w:t>
      </w:r>
      <w:r>
        <w:rPr>
          <w:rFonts w:ascii="仿宋" w:hAnsi="仿宋" w:eastAsia="仿宋" w:cs="宋体"/>
          <w:color w:val="000000"/>
          <w:kern w:val="0"/>
          <w:lang w:val="zh-CN"/>
        </w:rPr>
        <w:t>18,230.18</w:t>
      </w:r>
      <w:r>
        <w:rPr>
          <w:rFonts w:hint="eastAsia" w:ascii="仿宋" w:hAnsi="仿宋" w:eastAsia="仿宋" w:cs="宋体"/>
          <w:color w:val="000000"/>
          <w:kern w:val="0"/>
          <w:lang w:val="zh-CN"/>
        </w:rPr>
        <w:t>万元，其中：基本支出</w:t>
      </w:r>
      <w:r>
        <w:rPr>
          <w:rFonts w:ascii="仿宋" w:hAnsi="仿宋" w:eastAsia="仿宋" w:cs="宋体"/>
          <w:color w:val="000000"/>
          <w:kern w:val="0"/>
          <w:lang w:val="zh-CN"/>
        </w:rPr>
        <w:t>2,820.96</w:t>
      </w:r>
      <w:r>
        <w:rPr>
          <w:rFonts w:hint="eastAsia" w:ascii="仿宋" w:hAnsi="仿宋" w:eastAsia="仿宋" w:cs="宋体"/>
          <w:color w:val="000000"/>
          <w:kern w:val="0"/>
          <w:lang w:val="zh-CN"/>
        </w:rPr>
        <w:t>万元，占</w:t>
      </w:r>
      <w:r>
        <w:rPr>
          <w:rFonts w:ascii="仿宋" w:hAnsi="仿宋" w:eastAsia="仿宋" w:cs="宋体"/>
          <w:color w:val="000000"/>
          <w:kern w:val="0"/>
          <w:lang w:val="zh-CN"/>
        </w:rPr>
        <w:t>15.47%</w:t>
      </w:r>
      <w:r>
        <w:rPr>
          <w:rFonts w:hint="eastAsia" w:ascii="仿宋" w:hAnsi="仿宋" w:eastAsia="仿宋" w:cs="宋体"/>
          <w:color w:val="000000"/>
          <w:kern w:val="0"/>
          <w:lang w:val="zh-CN"/>
        </w:rPr>
        <w:t>；项目支出</w:t>
      </w:r>
      <w:r>
        <w:rPr>
          <w:rFonts w:ascii="仿宋" w:hAnsi="仿宋" w:eastAsia="仿宋" w:cs="宋体"/>
          <w:color w:val="000000"/>
          <w:kern w:val="0"/>
          <w:lang w:val="zh-CN"/>
        </w:rPr>
        <w:t>15,409.22</w:t>
      </w:r>
      <w:r>
        <w:rPr>
          <w:rFonts w:hint="eastAsia" w:ascii="仿宋" w:hAnsi="仿宋" w:eastAsia="仿宋" w:cs="宋体"/>
          <w:color w:val="000000"/>
          <w:kern w:val="0"/>
          <w:lang w:val="zh-CN"/>
        </w:rPr>
        <w:t>万元，占</w:t>
      </w:r>
      <w:r>
        <w:rPr>
          <w:rFonts w:ascii="仿宋" w:hAnsi="仿宋" w:eastAsia="仿宋" w:cs="宋体"/>
          <w:color w:val="000000"/>
          <w:kern w:val="0"/>
          <w:lang w:val="zh-CN"/>
        </w:rPr>
        <w:t>84.53%</w:t>
      </w:r>
      <w:r>
        <w:rPr>
          <w:rFonts w:hint="eastAsia" w:ascii="仿宋" w:hAnsi="仿宋" w:eastAsia="仿宋" w:cs="宋体"/>
          <w:color w:val="000000"/>
          <w:kern w:val="0"/>
          <w:lang w:val="zh-CN"/>
        </w:rPr>
        <w:t>；上缴上级支出</w:t>
      </w:r>
      <w:r>
        <w:rPr>
          <w:rFonts w:ascii="仿宋" w:hAnsi="仿宋" w:eastAsia="仿宋" w:cs="宋体"/>
          <w:color w:val="000000"/>
          <w:kern w:val="0"/>
          <w:lang w:val="zh-CN"/>
        </w:rPr>
        <w:t>0</w:t>
      </w:r>
      <w:r>
        <w:rPr>
          <w:rFonts w:hint="eastAsia" w:ascii="仿宋" w:hAnsi="仿宋" w:eastAsia="仿宋" w:cs="宋体"/>
          <w:color w:val="000000"/>
          <w:kern w:val="0"/>
          <w:lang w:val="zh-CN"/>
        </w:rPr>
        <w:t>万元，占</w:t>
      </w:r>
      <w:r>
        <w:rPr>
          <w:rFonts w:ascii="仿宋" w:hAnsi="仿宋" w:eastAsia="仿宋" w:cs="宋体"/>
          <w:color w:val="000000"/>
          <w:kern w:val="0"/>
          <w:lang w:val="zh-CN"/>
        </w:rPr>
        <w:t>0%</w:t>
      </w:r>
      <w:r>
        <w:rPr>
          <w:rFonts w:hint="eastAsia" w:ascii="仿宋" w:hAnsi="仿宋" w:eastAsia="仿宋" w:cs="宋体"/>
          <w:color w:val="000000"/>
          <w:kern w:val="0"/>
          <w:lang w:val="zh-CN"/>
        </w:rPr>
        <w:t>；经营支出</w:t>
      </w:r>
      <w:r>
        <w:rPr>
          <w:rFonts w:ascii="仿宋" w:hAnsi="仿宋" w:eastAsia="仿宋" w:cs="宋体"/>
          <w:color w:val="000000"/>
          <w:kern w:val="0"/>
          <w:lang w:val="zh-CN"/>
        </w:rPr>
        <w:t>0</w:t>
      </w:r>
      <w:r>
        <w:rPr>
          <w:rFonts w:hint="eastAsia" w:ascii="仿宋" w:hAnsi="仿宋" w:eastAsia="仿宋" w:cs="宋体"/>
          <w:color w:val="000000"/>
          <w:kern w:val="0"/>
          <w:lang w:val="zh-CN"/>
        </w:rPr>
        <w:t>万元，占</w:t>
      </w:r>
      <w:r>
        <w:rPr>
          <w:rFonts w:ascii="仿宋" w:hAnsi="仿宋" w:eastAsia="仿宋" w:cs="宋体"/>
          <w:color w:val="000000"/>
          <w:kern w:val="0"/>
          <w:lang w:val="zh-CN"/>
        </w:rPr>
        <w:t>0%</w:t>
      </w:r>
      <w:r>
        <w:rPr>
          <w:rFonts w:hint="eastAsia" w:ascii="仿宋" w:hAnsi="仿宋" w:eastAsia="仿宋" w:cs="宋体"/>
          <w:color w:val="000000"/>
          <w:kern w:val="0"/>
          <w:lang w:val="zh-CN"/>
        </w:rPr>
        <w:t>；对附属单位补助支出</w:t>
      </w:r>
      <w:r>
        <w:rPr>
          <w:rFonts w:ascii="仿宋" w:hAnsi="仿宋" w:eastAsia="仿宋" w:cs="宋体"/>
          <w:color w:val="000000"/>
          <w:kern w:val="0"/>
          <w:lang w:val="zh-CN"/>
        </w:rPr>
        <w:t>0</w:t>
      </w:r>
      <w:r>
        <w:rPr>
          <w:rFonts w:hint="eastAsia" w:ascii="仿宋" w:hAnsi="仿宋" w:eastAsia="仿宋" w:cs="宋体"/>
          <w:color w:val="000000"/>
          <w:kern w:val="0"/>
          <w:lang w:val="zh-CN"/>
        </w:rPr>
        <w:t>万元，占</w:t>
      </w:r>
      <w:r>
        <w:rPr>
          <w:rFonts w:ascii="仿宋" w:hAnsi="仿宋" w:eastAsia="仿宋" w:cs="宋体"/>
          <w:color w:val="000000"/>
          <w:kern w:val="0"/>
          <w:lang w:val="zh-CN"/>
        </w:rPr>
        <w:t>0%</w:t>
      </w:r>
      <w:r>
        <w:rPr>
          <w:rFonts w:hint="eastAsia" w:ascii="仿宋" w:hAnsi="仿宋" w:eastAsia="仿宋" w:cs="宋体"/>
          <w:color w:val="000000"/>
          <w:kern w:val="0"/>
          <w:lang w:val="zh-CN"/>
        </w:rPr>
        <w:t>。</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四、财政拨款收入支出决算总体情况说明</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年度财政拨款收、支总计均为</w:t>
      </w:r>
      <w:r>
        <w:rPr>
          <w:rFonts w:ascii="仿宋" w:hAnsi="仿宋" w:eastAsia="仿宋" w:cs="宋体"/>
          <w:color w:val="000000"/>
          <w:kern w:val="0"/>
          <w:lang w:val="zh-CN"/>
        </w:rPr>
        <w:t>22,857.35</w:t>
      </w:r>
      <w:r>
        <w:rPr>
          <w:rFonts w:hint="eastAsia" w:ascii="仿宋" w:hAnsi="仿宋" w:eastAsia="仿宋" w:cs="宋体"/>
          <w:color w:val="000000"/>
          <w:kern w:val="0"/>
          <w:lang w:val="zh-CN"/>
        </w:rPr>
        <w:t>万元。与上年度相比，财政拨款收、支总计各减少355万元，下降1.55</w:t>
      </w:r>
      <w:r>
        <w:rPr>
          <w:rFonts w:ascii="仿宋" w:hAnsi="仿宋" w:eastAsia="仿宋" w:cs="宋体"/>
          <w:color w:val="000000"/>
          <w:kern w:val="0"/>
          <w:lang w:val="zh-CN"/>
        </w:rPr>
        <w:t>%</w:t>
      </w:r>
      <w:r>
        <w:rPr>
          <w:rFonts w:hint="eastAsia" w:ascii="仿宋" w:hAnsi="仿宋" w:eastAsia="仿宋" w:cs="宋体"/>
          <w:color w:val="000000"/>
          <w:kern w:val="0"/>
          <w:lang w:val="zh-CN"/>
        </w:rPr>
        <w:t>。主要原因是土地出让业务减少。</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五、一般公共预算财政拨款支出决算情况说明</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（一）总体情况</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年度一般公共预算财政拨款支出</w:t>
      </w:r>
      <w:r>
        <w:rPr>
          <w:rFonts w:ascii="仿宋" w:hAnsi="仿宋" w:eastAsia="仿宋" w:cs="宋体"/>
          <w:color w:val="000000"/>
          <w:kern w:val="0"/>
          <w:lang w:val="zh-CN"/>
        </w:rPr>
        <w:t>3,384.55</w:t>
      </w:r>
      <w:r>
        <w:rPr>
          <w:rFonts w:hint="eastAsia" w:ascii="仿宋" w:hAnsi="仿宋" w:eastAsia="仿宋" w:cs="宋体"/>
          <w:color w:val="000000"/>
          <w:kern w:val="0"/>
          <w:lang w:val="zh-CN"/>
        </w:rPr>
        <w:t>万元，占本年支出合计的</w:t>
      </w:r>
      <w:r>
        <w:rPr>
          <w:rFonts w:ascii="仿宋" w:hAnsi="仿宋" w:eastAsia="仿宋" w:cs="宋体"/>
          <w:color w:val="000000"/>
          <w:kern w:val="0"/>
          <w:lang w:val="zh-CN"/>
        </w:rPr>
        <w:t>18.565651%</w:t>
      </w:r>
      <w:r>
        <w:rPr>
          <w:rFonts w:hint="eastAsia" w:ascii="仿宋" w:hAnsi="仿宋" w:eastAsia="仿宋" w:cs="宋体"/>
          <w:color w:val="000000"/>
          <w:kern w:val="0"/>
          <w:lang w:val="zh-CN"/>
        </w:rPr>
        <w:t>。与上年度相比，一般公共预算财政拨款支出减少1868.20万元，下降55.20</w:t>
      </w:r>
      <w:r>
        <w:rPr>
          <w:rFonts w:ascii="仿宋" w:hAnsi="仿宋" w:eastAsia="仿宋" w:cs="宋体"/>
          <w:color w:val="000000"/>
          <w:kern w:val="0"/>
          <w:lang w:val="zh-CN"/>
        </w:rPr>
        <w:t>%</w:t>
      </w:r>
      <w:r>
        <w:rPr>
          <w:rFonts w:hint="eastAsia" w:ascii="仿宋" w:hAnsi="仿宋" w:eastAsia="仿宋" w:cs="宋体"/>
          <w:color w:val="000000"/>
          <w:kern w:val="0"/>
          <w:lang w:val="zh-CN"/>
        </w:rPr>
        <w:t>。主要原因是城乡社区支出减少。</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（二）结构情况</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年度一般公共预算财政拨款支出</w:t>
      </w:r>
      <w:r>
        <w:rPr>
          <w:rFonts w:ascii="仿宋" w:hAnsi="仿宋" w:eastAsia="仿宋" w:cs="宋体"/>
          <w:color w:val="000000"/>
          <w:kern w:val="0"/>
          <w:lang w:val="zh-CN"/>
        </w:rPr>
        <w:t>3,384.55</w:t>
      </w:r>
      <w:r>
        <w:rPr>
          <w:rFonts w:hint="eastAsia" w:ascii="仿宋" w:hAnsi="仿宋" w:eastAsia="仿宋" w:cs="宋体"/>
          <w:color w:val="000000"/>
          <w:kern w:val="0"/>
          <w:lang w:val="zh-CN"/>
        </w:rPr>
        <w:t>万元，主要用于以下方面：一般公共服务（类）支出5.77万元，占0.17</w:t>
      </w:r>
      <w:r>
        <w:rPr>
          <w:rFonts w:ascii="仿宋" w:hAnsi="仿宋" w:eastAsia="仿宋" w:cs="宋体"/>
          <w:color w:val="000000"/>
          <w:kern w:val="0"/>
          <w:lang w:val="zh-CN"/>
        </w:rPr>
        <w:t>%</w:t>
      </w:r>
      <w:r>
        <w:rPr>
          <w:rFonts w:hint="eastAsia" w:ascii="仿宋" w:hAnsi="仿宋" w:eastAsia="仿宋" w:cs="宋体"/>
          <w:color w:val="000000"/>
          <w:kern w:val="0"/>
          <w:lang w:val="zh-CN"/>
        </w:rPr>
        <w:t>；社会保障和就业（类）支出219.05万元，占6.47</w:t>
      </w:r>
      <w:r>
        <w:rPr>
          <w:rFonts w:ascii="仿宋" w:hAnsi="仿宋" w:eastAsia="仿宋" w:cs="宋体"/>
          <w:color w:val="000000"/>
          <w:kern w:val="0"/>
          <w:lang w:val="zh-CN"/>
        </w:rPr>
        <w:t>%</w:t>
      </w:r>
      <w:r>
        <w:rPr>
          <w:rFonts w:hint="eastAsia" w:ascii="仿宋" w:hAnsi="仿宋" w:eastAsia="仿宋" w:cs="宋体"/>
          <w:color w:val="000000"/>
          <w:kern w:val="0"/>
          <w:lang w:val="zh-CN"/>
        </w:rPr>
        <w:t>；卫生健康（类）支出123.44万元，占3.65</w:t>
      </w:r>
      <w:r>
        <w:rPr>
          <w:rFonts w:ascii="仿宋" w:hAnsi="仿宋" w:eastAsia="仿宋" w:cs="宋体"/>
          <w:color w:val="000000"/>
          <w:kern w:val="0"/>
          <w:lang w:val="zh-CN"/>
        </w:rPr>
        <w:t>%</w:t>
      </w:r>
      <w:r>
        <w:rPr>
          <w:rFonts w:hint="eastAsia" w:ascii="仿宋" w:hAnsi="仿宋" w:eastAsia="仿宋" w:cs="宋体"/>
          <w:color w:val="000000"/>
          <w:kern w:val="0"/>
          <w:lang w:val="zh-CN"/>
        </w:rPr>
        <w:t>；城乡社区（类）支出1059.72万元，占31.31</w:t>
      </w:r>
      <w:r>
        <w:rPr>
          <w:rFonts w:ascii="仿宋" w:hAnsi="仿宋" w:eastAsia="仿宋" w:cs="宋体"/>
          <w:color w:val="000000"/>
          <w:kern w:val="0"/>
          <w:lang w:val="zh-CN"/>
        </w:rPr>
        <w:t>%</w:t>
      </w:r>
      <w:r>
        <w:rPr>
          <w:rFonts w:hint="eastAsia" w:ascii="仿宋" w:hAnsi="仿宋" w:eastAsia="仿宋" w:cs="宋体"/>
          <w:color w:val="000000"/>
          <w:kern w:val="0"/>
          <w:lang w:val="zh-CN"/>
        </w:rPr>
        <w:t>；农林水（类）支出50.36万元，占1.49</w:t>
      </w:r>
      <w:r>
        <w:rPr>
          <w:rFonts w:ascii="仿宋" w:hAnsi="仿宋" w:eastAsia="仿宋" w:cs="宋体"/>
          <w:color w:val="000000"/>
          <w:kern w:val="0"/>
          <w:lang w:val="zh-CN"/>
        </w:rPr>
        <w:t>%</w:t>
      </w:r>
      <w:r>
        <w:rPr>
          <w:rFonts w:hint="eastAsia" w:ascii="仿宋" w:hAnsi="仿宋" w:eastAsia="仿宋" w:cs="宋体"/>
          <w:color w:val="000000"/>
          <w:kern w:val="0"/>
          <w:lang w:val="zh-CN"/>
        </w:rPr>
        <w:t>；自然资源海洋气象等（类）支出1797.09万元，占53.10</w:t>
      </w:r>
      <w:r>
        <w:rPr>
          <w:rFonts w:ascii="仿宋" w:hAnsi="仿宋" w:eastAsia="仿宋" w:cs="宋体"/>
          <w:color w:val="000000"/>
          <w:kern w:val="0"/>
          <w:lang w:val="zh-CN"/>
        </w:rPr>
        <w:t>%</w:t>
      </w:r>
      <w:r>
        <w:rPr>
          <w:rFonts w:hint="eastAsia" w:ascii="仿宋" w:hAnsi="仿宋" w:eastAsia="仿宋" w:cs="宋体"/>
          <w:color w:val="000000"/>
          <w:kern w:val="0"/>
          <w:lang w:val="zh-CN"/>
        </w:rPr>
        <w:t>；住房保障（类）支出129.13万元，占3.81</w:t>
      </w:r>
      <w:r>
        <w:rPr>
          <w:rFonts w:ascii="仿宋" w:hAnsi="仿宋" w:eastAsia="仿宋" w:cs="宋体"/>
          <w:color w:val="000000"/>
          <w:kern w:val="0"/>
          <w:lang w:val="zh-CN"/>
        </w:rPr>
        <w:t>%</w:t>
      </w:r>
      <w:r>
        <w:rPr>
          <w:rFonts w:hint="eastAsia" w:ascii="仿宋" w:hAnsi="仿宋" w:eastAsia="仿宋" w:cs="宋体"/>
          <w:color w:val="000000"/>
          <w:kern w:val="0"/>
          <w:lang w:val="zh-CN"/>
        </w:rPr>
        <w:t>。</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（三）具体情况</w:t>
      </w:r>
    </w:p>
    <w:p>
      <w:pPr>
        <w:adjustRightInd w:val="0"/>
        <w:snapToGrid w:val="0"/>
        <w:spacing w:line="360" w:lineRule="auto"/>
        <w:ind w:firstLine="640"/>
        <w:rPr>
          <w:rFonts w:ascii="仿宋" w:hAnsi="仿宋" w:eastAsia="仿宋" w:cs="宋体"/>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年度一般公共预算财政拨款支出年初预算为</w:t>
      </w:r>
      <w:r>
        <w:rPr>
          <w:rFonts w:ascii="仿宋" w:hAnsi="仿宋" w:eastAsia="仿宋" w:cs="宋体"/>
          <w:color w:val="000000"/>
          <w:kern w:val="0"/>
          <w:lang w:val="zh-CN"/>
        </w:rPr>
        <w:t>3,173.52</w:t>
      </w:r>
      <w:r>
        <w:rPr>
          <w:rFonts w:hint="eastAsia" w:ascii="仿宋" w:hAnsi="仿宋" w:eastAsia="仿宋" w:cs="宋体"/>
          <w:color w:val="000000"/>
          <w:kern w:val="0"/>
          <w:lang w:val="zh-CN"/>
        </w:rPr>
        <w:t>万元，支出决算为</w:t>
      </w:r>
      <w:r>
        <w:rPr>
          <w:rFonts w:ascii="仿宋" w:hAnsi="仿宋" w:eastAsia="仿宋" w:cs="宋体"/>
          <w:color w:val="000000"/>
          <w:kern w:val="0"/>
          <w:lang w:val="zh-CN"/>
        </w:rPr>
        <w:t>3,384.55</w:t>
      </w:r>
      <w:r>
        <w:rPr>
          <w:rFonts w:hint="eastAsia" w:ascii="仿宋" w:hAnsi="仿宋" w:eastAsia="仿宋" w:cs="宋体"/>
          <w:color w:val="000000"/>
          <w:kern w:val="0"/>
          <w:lang w:val="zh-CN"/>
        </w:rPr>
        <w:t>万元，完成年初预算的</w:t>
      </w:r>
      <w:r>
        <w:rPr>
          <w:rFonts w:ascii="仿宋" w:hAnsi="仿宋" w:eastAsia="仿宋" w:cs="宋体"/>
          <w:color w:val="000000"/>
          <w:kern w:val="0"/>
          <w:lang w:val="zh-CN"/>
        </w:rPr>
        <w:t>106.649827%</w:t>
      </w:r>
      <w:r>
        <w:rPr>
          <w:rFonts w:hint="eastAsia" w:ascii="仿宋" w:hAnsi="仿宋" w:eastAsia="仿宋" w:cs="宋体"/>
          <w:color w:val="000000"/>
          <w:kern w:val="0"/>
          <w:lang w:val="zh-CN"/>
        </w:rPr>
        <w:t>。其中：</w:t>
      </w:r>
    </w:p>
    <w:p>
      <w:pPr>
        <w:autoSpaceDE w:val="0"/>
        <w:autoSpaceDN w:val="0"/>
        <w:adjustRightInd w:val="0"/>
        <w:spacing w:line="360" w:lineRule="auto"/>
        <w:ind w:firstLine="640"/>
        <w:rPr>
          <w:rFonts w:ascii="仿宋" w:hAnsi="仿宋" w:eastAsia="仿宋" w:cs="宋体"/>
          <w:color w:val="000000"/>
          <w:kern w:val="0"/>
          <w:lang w:val="zh-CN"/>
        </w:rPr>
      </w:pPr>
      <w:r>
        <w:rPr>
          <w:rFonts w:hint="eastAsia" w:ascii="仿宋" w:hAnsi="仿宋" w:eastAsia="仿宋" w:cs="宋体"/>
          <w:color w:val="000000"/>
          <w:kern w:val="0"/>
          <w:lang w:val="zh-CN"/>
        </w:rPr>
        <w:t>1、一般公共服务支出（类）支出</w:t>
      </w:r>
    </w:p>
    <w:p>
      <w:pPr>
        <w:autoSpaceDE w:val="0"/>
        <w:autoSpaceDN w:val="0"/>
        <w:adjustRightInd w:val="0"/>
        <w:spacing w:line="360" w:lineRule="auto"/>
        <w:ind w:firstLine="640"/>
        <w:rPr>
          <w:rFonts w:ascii="仿宋" w:hAnsi="仿宋" w:eastAsia="仿宋" w:cs="宋体"/>
          <w:color w:val="000000"/>
          <w:kern w:val="0"/>
          <w:lang w:val="zh-CN"/>
        </w:rPr>
      </w:pPr>
      <w:r>
        <w:rPr>
          <w:rFonts w:hint="eastAsia" w:ascii="仿宋" w:hAnsi="仿宋" w:eastAsia="仿宋" w:cs="宋体"/>
          <w:color w:val="000000"/>
          <w:kern w:val="0"/>
          <w:lang w:val="zh-CN"/>
        </w:rPr>
        <w:t>年初预算为0万元，支出决算为5.77万元。决算数与年初预算数存在差异的主要原因是纪检监察事务（款）派驻派出机构（项）年初预算为0万元，调整预算数为5.77万元。</w:t>
      </w:r>
    </w:p>
    <w:p>
      <w:pPr>
        <w:autoSpaceDE w:val="0"/>
        <w:autoSpaceDN w:val="0"/>
        <w:adjustRightInd w:val="0"/>
        <w:spacing w:line="360" w:lineRule="auto"/>
        <w:ind w:firstLine="640"/>
        <w:rPr>
          <w:rFonts w:ascii="仿宋" w:hAnsi="仿宋" w:eastAsia="仿宋" w:cs="宋体"/>
          <w:color w:val="000000"/>
          <w:kern w:val="0"/>
          <w:lang w:val="zh-CN"/>
        </w:rPr>
      </w:pPr>
      <w:r>
        <w:rPr>
          <w:rFonts w:hint="eastAsia" w:ascii="仿宋" w:hAnsi="仿宋" w:eastAsia="仿宋" w:cs="宋体"/>
          <w:color w:val="000000"/>
          <w:kern w:val="0"/>
          <w:lang w:val="zh-CN"/>
        </w:rPr>
        <w:t>2、社会保障和就业支出（类)支出</w:t>
      </w:r>
    </w:p>
    <w:p>
      <w:pPr>
        <w:autoSpaceDE w:val="0"/>
        <w:autoSpaceDN w:val="0"/>
        <w:adjustRightInd w:val="0"/>
        <w:spacing w:line="360" w:lineRule="auto"/>
        <w:ind w:firstLine="640"/>
        <w:rPr>
          <w:rFonts w:ascii="仿宋" w:hAnsi="仿宋" w:eastAsia="仿宋" w:cs="宋体"/>
          <w:color w:val="000000"/>
          <w:kern w:val="0"/>
          <w:lang w:val="zh-CN"/>
        </w:rPr>
      </w:pPr>
      <w:r>
        <w:rPr>
          <w:rFonts w:hint="eastAsia" w:ascii="仿宋" w:hAnsi="仿宋" w:eastAsia="仿宋" w:cs="宋体"/>
          <w:color w:val="000000"/>
          <w:kern w:val="0"/>
          <w:lang w:val="zh-CN"/>
        </w:rPr>
        <w:t>年初预算为251.22万元，支出决算为219.05万元，完成年初预算的87.19%。决算数与年初预算数存在差异的主要原因是年末在职人数不满编制人数及人员变动导致支出减少。</w:t>
      </w:r>
    </w:p>
    <w:p>
      <w:pPr>
        <w:adjustRightInd w:val="0"/>
        <w:snapToGrid w:val="0"/>
        <w:spacing w:line="360" w:lineRule="auto"/>
        <w:ind w:firstLine="640"/>
        <w:rPr>
          <w:rFonts w:hint="eastAsia" w:ascii="仿宋" w:hAnsi="仿宋" w:eastAsia="仿宋" w:cs="仿宋"/>
          <w:bCs/>
          <w:color w:val="000000"/>
        </w:rPr>
      </w:pPr>
      <w:r>
        <w:rPr>
          <w:rFonts w:hint="eastAsia" w:ascii="仿宋" w:hAnsi="仿宋" w:eastAsia="仿宋" w:cs="仿宋"/>
          <w:color w:val="000000"/>
        </w:rPr>
        <w:t>3、</w:t>
      </w:r>
      <w:r>
        <w:rPr>
          <w:rFonts w:hint="eastAsia" w:ascii="仿宋" w:hAnsi="仿宋" w:eastAsia="仿宋" w:cs="仿宋"/>
          <w:bCs/>
          <w:color w:val="000000"/>
        </w:rPr>
        <w:t>医疗卫生与计划生育支出（类）支出</w:t>
      </w:r>
    </w:p>
    <w:p>
      <w:pPr>
        <w:adjustRightInd w:val="0"/>
        <w:snapToGrid w:val="0"/>
        <w:spacing w:line="360" w:lineRule="auto"/>
        <w:ind w:firstLine="640"/>
        <w:rPr>
          <w:rFonts w:ascii="仿宋" w:hAnsi="仿宋" w:eastAsia="仿宋" w:cs="仿宋"/>
          <w:bCs/>
          <w:color w:val="000000"/>
        </w:rPr>
      </w:pPr>
      <w:r>
        <w:rPr>
          <w:rFonts w:hint="eastAsia" w:ascii="仿宋" w:hAnsi="仿宋" w:eastAsia="仿宋" w:cs="宋体"/>
          <w:color w:val="000000"/>
          <w:kern w:val="0"/>
          <w:lang w:val="zh-CN"/>
        </w:rPr>
        <w:t>年初预算为142.38万元，支出决算为123.44万元，完成年初预算的86.70%。决算数与年初预算数存在差异的主要原因是年末在职人数不满编制人数及人员变动导致支出减少。</w:t>
      </w:r>
    </w:p>
    <w:p>
      <w:pPr>
        <w:adjustRightInd w:val="0"/>
        <w:snapToGrid w:val="0"/>
        <w:spacing w:line="360" w:lineRule="auto"/>
        <w:ind w:firstLine="640"/>
        <w:rPr>
          <w:rFonts w:hint="eastAsia" w:ascii="仿宋" w:hAnsi="仿宋" w:eastAsia="仿宋" w:cs="仿宋"/>
          <w:bCs/>
          <w:color w:val="000000"/>
        </w:rPr>
      </w:pPr>
      <w:r>
        <w:rPr>
          <w:rFonts w:hint="eastAsia" w:ascii="仿宋" w:hAnsi="仿宋" w:eastAsia="仿宋" w:cs="仿宋"/>
          <w:bCs/>
          <w:color w:val="000000"/>
        </w:rPr>
        <w:t>4、城乡社区支出（类）支出</w:t>
      </w:r>
    </w:p>
    <w:p>
      <w:pPr>
        <w:adjustRightInd w:val="0"/>
        <w:snapToGrid w:val="0"/>
        <w:spacing w:line="360" w:lineRule="auto"/>
        <w:ind w:firstLine="640"/>
        <w:rPr>
          <w:rFonts w:ascii="仿宋" w:hAnsi="仿宋" w:eastAsia="仿宋" w:cs="仿宋"/>
          <w:bCs/>
          <w:color w:val="000000"/>
        </w:rPr>
      </w:pPr>
      <w:r>
        <w:rPr>
          <w:rFonts w:hint="eastAsia" w:ascii="仿宋" w:hAnsi="仿宋" w:eastAsia="仿宋" w:cs="宋体"/>
          <w:color w:val="000000"/>
          <w:kern w:val="0"/>
          <w:lang w:val="zh-CN"/>
        </w:rPr>
        <w:t>年初预算为1036.11万元，支出决算为1059.72万元，完成年初预算的102.28%。决算数与年初预算数存在差异的主要原因是</w:t>
      </w:r>
      <w:r>
        <w:rPr>
          <w:rFonts w:hint="eastAsia" w:ascii="仿宋" w:hAnsi="仿宋" w:eastAsia="仿宋" w:cs="仿宋"/>
          <w:bCs/>
          <w:color w:val="000000"/>
        </w:rPr>
        <w:t>城乡社区规划与管理（款）城乡社区规划与管理（类）支出增加。</w:t>
      </w:r>
    </w:p>
    <w:p>
      <w:pPr>
        <w:adjustRightInd w:val="0"/>
        <w:snapToGrid w:val="0"/>
        <w:spacing w:line="360" w:lineRule="auto"/>
        <w:ind w:firstLine="640"/>
        <w:rPr>
          <w:rFonts w:hint="eastAsia" w:ascii="仿宋" w:hAnsi="仿宋" w:eastAsia="仿宋" w:cs="仿宋"/>
          <w:bCs/>
          <w:color w:val="000000"/>
        </w:rPr>
      </w:pPr>
      <w:r>
        <w:rPr>
          <w:rFonts w:hint="eastAsia" w:ascii="仿宋" w:hAnsi="仿宋" w:eastAsia="仿宋" w:cs="仿宋"/>
          <w:color w:val="000000"/>
        </w:rPr>
        <w:t>5、</w:t>
      </w:r>
      <w:r>
        <w:rPr>
          <w:rFonts w:hint="eastAsia" w:ascii="仿宋" w:hAnsi="仿宋" w:eastAsia="仿宋" w:cs="仿宋"/>
          <w:bCs/>
          <w:color w:val="000000"/>
        </w:rPr>
        <w:t>农林水支出（类)支出</w:t>
      </w:r>
    </w:p>
    <w:p>
      <w:pPr>
        <w:adjustRightInd w:val="0"/>
        <w:snapToGrid w:val="0"/>
        <w:spacing w:line="360" w:lineRule="auto"/>
        <w:ind w:firstLine="640"/>
        <w:rPr>
          <w:rFonts w:ascii="仿宋" w:hAnsi="仿宋" w:eastAsia="仿宋" w:cs="仿宋"/>
          <w:bCs/>
          <w:color w:val="000000"/>
        </w:rPr>
      </w:pPr>
      <w:r>
        <w:rPr>
          <w:rFonts w:hint="eastAsia" w:ascii="仿宋" w:hAnsi="仿宋" w:eastAsia="仿宋" w:cs="宋体"/>
          <w:color w:val="000000"/>
          <w:kern w:val="0"/>
          <w:lang w:val="zh-CN"/>
        </w:rPr>
        <w:t>年初预算为28.56万元，支出决算为50.36万元，完成年初预算的176.33%。决算数与年初预算数存在差异的主要原因是</w:t>
      </w:r>
      <w:r>
        <w:rPr>
          <w:rFonts w:hint="eastAsia" w:ascii="仿宋" w:hAnsi="仿宋" w:eastAsia="仿宋" w:cs="仿宋"/>
          <w:bCs/>
          <w:color w:val="000000"/>
        </w:rPr>
        <w:t>扶贫（款）其他扶贫支出（项）</w:t>
      </w:r>
      <w:r>
        <w:rPr>
          <w:rFonts w:hint="eastAsia" w:ascii="仿宋" w:hAnsi="仿宋" w:eastAsia="仿宋" w:cs="仿宋"/>
          <w:color w:val="000000"/>
        </w:rPr>
        <w:t>支出增加。</w:t>
      </w:r>
    </w:p>
    <w:p>
      <w:pPr>
        <w:adjustRightInd w:val="0"/>
        <w:snapToGrid w:val="0"/>
        <w:spacing w:line="360" w:lineRule="auto"/>
        <w:ind w:firstLine="640"/>
        <w:rPr>
          <w:rFonts w:hint="eastAsia" w:ascii="仿宋" w:hAnsi="仿宋" w:eastAsia="仿宋" w:cs="仿宋"/>
          <w:color w:val="000000"/>
        </w:rPr>
      </w:pPr>
      <w:r>
        <w:rPr>
          <w:rFonts w:hint="eastAsia" w:ascii="仿宋" w:hAnsi="仿宋" w:eastAsia="仿宋" w:cs="仿宋"/>
          <w:color w:val="000000"/>
        </w:rPr>
        <w:t>6、自然资源海洋气象等支出（类）支出</w:t>
      </w:r>
    </w:p>
    <w:p>
      <w:pPr>
        <w:adjustRightInd w:val="0"/>
        <w:snapToGrid w:val="0"/>
        <w:spacing w:line="360" w:lineRule="auto"/>
        <w:ind w:firstLine="640"/>
        <w:rPr>
          <w:rFonts w:ascii="仿宋" w:hAnsi="仿宋" w:eastAsia="仿宋" w:cs="仿宋"/>
          <w:color w:val="000000"/>
        </w:rPr>
      </w:pPr>
      <w:r>
        <w:rPr>
          <w:rFonts w:hint="eastAsia" w:ascii="仿宋" w:hAnsi="仿宋" w:eastAsia="仿宋" w:cs="宋体"/>
          <w:color w:val="000000"/>
          <w:kern w:val="0"/>
          <w:lang w:val="zh-CN"/>
        </w:rPr>
        <w:t>年初预算1570.71万元，支出决算为1797.09万元，完成年初预算的114.41%。决算数与年初预算数存在差异的主要原因是</w:t>
      </w:r>
      <w:r>
        <w:rPr>
          <w:rFonts w:hint="eastAsia" w:ascii="仿宋" w:hAnsi="仿宋" w:eastAsia="仿宋" w:cs="仿宋"/>
          <w:color w:val="000000"/>
        </w:rPr>
        <w:t>自然资源事务（款）事业运行（项）支出增加。</w:t>
      </w:r>
    </w:p>
    <w:p>
      <w:pPr>
        <w:adjustRightInd w:val="0"/>
        <w:snapToGrid w:val="0"/>
        <w:spacing w:line="360" w:lineRule="auto"/>
        <w:ind w:firstLine="640"/>
        <w:rPr>
          <w:rFonts w:hint="eastAsia" w:ascii="仿宋" w:hAnsi="仿宋" w:eastAsia="仿宋" w:cs="仿宋"/>
          <w:bCs/>
          <w:color w:val="000000"/>
        </w:rPr>
      </w:pPr>
      <w:r>
        <w:rPr>
          <w:rFonts w:hint="eastAsia" w:ascii="仿宋" w:hAnsi="仿宋" w:eastAsia="仿宋" w:cs="仿宋"/>
          <w:color w:val="000000"/>
        </w:rPr>
        <w:t>7、</w:t>
      </w:r>
      <w:r>
        <w:rPr>
          <w:rFonts w:hint="eastAsia" w:ascii="仿宋" w:hAnsi="仿宋" w:eastAsia="仿宋" w:cs="仿宋"/>
          <w:bCs/>
          <w:color w:val="000000"/>
        </w:rPr>
        <w:t>住房保障支出（类）支出</w:t>
      </w:r>
    </w:p>
    <w:p>
      <w:pPr>
        <w:adjustRightInd w:val="0"/>
        <w:snapToGrid w:val="0"/>
        <w:spacing w:line="360" w:lineRule="auto"/>
        <w:ind w:firstLine="640"/>
        <w:rPr>
          <w:rFonts w:ascii="仿宋" w:hAnsi="仿宋" w:eastAsia="仿宋" w:cs="仿宋"/>
          <w:bCs/>
          <w:color w:val="000000"/>
        </w:rPr>
      </w:pPr>
      <w:r>
        <w:rPr>
          <w:rFonts w:hint="eastAsia" w:ascii="仿宋" w:hAnsi="仿宋" w:eastAsia="仿宋" w:cs="宋体"/>
          <w:color w:val="000000"/>
          <w:kern w:val="0"/>
          <w:lang w:val="zh-CN"/>
        </w:rPr>
        <w:t>年初预算为144.54万元，支出决算为129.13万元，完成年初预算的89.34%。决算数与年初预算数存在差异的主要原因是年末在职人数不满编制人数及人员变动导致支出减少。</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六、一般公共预算财政拨款基本支出决算情况说明</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年度一般公共预算财政拨款基本支出</w:t>
      </w:r>
      <w:r>
        <w:rPr>
          <w:rFonts w:ascii="仿宋" w:hAnsi="仿宋" w:eastAsia="仿宋" w:cs="宋体"/>
          <w:color w:val="000000"/>
          <w:kern w:val="0"/>
          <w:lang w:val="zh-CN"/>
        </w:rPr>
        <w:t>2,795.1</w:t>
      </w:r>
      <w:r>
        <w:rPr>
          <w:rFonts w:hint="eastAsia" w:ascii="仿宋" w:hAnsi="仿宋" w:eastAsia="仿宋" w:cs="宋体"/>
          <w:color w:val="000000"/>
          <w:kern w:val="0"/>
          <w:lang w:val="zh-CN"/>
        </w:rPr>
        <w:t>万元。其中：人员经费</w:t>
      </w:r>
      <w:r>
        <w:rPr>
          <w:rFonts w:ascii="仿宋" w:hAnsi="仿宋" w:eastAsia="仿宋" w:cs="宋体"/>
          <w:color w:val="000000"/>
          <w:kern w:val="0"/>
          <w:lang w:val="zh-CN"/>
        </w:rPr>
        <w:t>2,562.5</w:t>
      </w:r>
      <w:r>
        <w:rPr>
          <w:rFonts w:hint="eastAsia" w:ascii="仿宋" w:hAnsi="仿宋" w:eastAsia="仿宋" w:cs="宋体"/>
          <w:color w:val="000000"/>
          <w:kern w:val="0"/>
          <w:lang w:val="zh-CN"/>
        </w:rPr>
        <w:t>0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ascii="仿宋" w:hAnsi="仿宋" w:eastAsia="仿宋" w:cs="宋体"/>
          <w:color w:val="000000"/>
          <w:kern w:val="0"/>
          <w:lang w:val="zh-CN"/>
        </w:rPr>
        <w:t>232.61</w:t>
      </w:r>
      <w:r>
        <w:rPr>
          <w:rFonts w:hint="eastAsia" w:ascii="仿宋" w:hAnsi="仿宋" w:eastAsia="仿宋" w:cs="宋体"/>
          <w:color w:val="000000"/>
          <w:kern w:val="0"/>
          <w:lang w:val="zh-CN"/>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七、一般公共预算财政拨款</w:t>
      </w:r>
      <w:r>
        <w:rPr>
          <w:rFonts w:ascii="仿宋" w:hAnsi="仿宋" w:eastAsia="仿宋" w:cs="Calibri"/>
          <w:b/>
          <w:color w:val="000000"/>
          <w:kern w:val="0"/>
          <w:lang w:val="zh-CN"/>
        </w:rPr>
        <w:t>“</w:t>
      </w:r>
      <w:r>
        <w:rPr>
          <w:rFonts w:hint="eastAsia" w:ascii="仿宋" w:hAnsi="仿宋" w:eastAsia="仿宋" w:cs="宋体"/>
          <w:b/>
          <w:color w:val="000000"/>
          <w:kern w:val="0"/>
          <w:lang w:val="zh-CN"/>
        </w:rPr>
        <w:t>三公</w:t>
      </w:r>
      <w:r>
        <w:rPr>
          <w:rFonts w:ascii="仿宋" w:hAnsi="仿宋" w:eastAsia="仿宋" w:cs="Calibri"/>
          <w:b/>
          <w:color w:val="000000"/>
          <w:kern w:val="0"/>
          <w:lang w:val="zh-CN"/>
        </w:rPr>
        <w:t>”</w:t>
      </w:r>
      <w:r>
        <w:rPr>
          <w:rFonts w:hint="eastAsia" w:ascii="仿宋" w:hAnsi="仿宋" w:eastAsia="仿宋" w:cs="宋体"/>
          <w:b/>
          <w:color w:val="000000"/>
          <w:kern w:val="0"/>
          <w:lang w:val="zh-CN"/>
        </w:rPr>
        <w:t>经费支出决算情况说明</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（一）</w:t>
      </w:r>
      <w:r>
        <w:rPr>
          <w:rFonts w:ascii="仿宋" w:hAnsi="仿宋" w:eastAsia="仿宋" w:cs="Calibri"/>
          <w:b/>
          <w:color w:val="000000"/>
          <w:kern w:val="0"/>
          <w:lang w:val="zh-CN"/>
        </w:rPr>
        <w:t>“</w:t>
      </w:r>
      <w:r>
        <w:rPr>
          <w:rFonts w:hint="eastAsia" w:ascii="仿宋" w:hAnsi="仿宋" w:eastAsia="仿宋" w:cs="宋体"/>
          <w:b/>
          <w:color w:val="000000"/>
          <w:kern w:val="0"/>
          <w:lang w:val="zh-CN"/>
        </w:rPr>
        <w:t>三公</w:t>
      </w:r>
      <w:r>
        <w:rPr>
          <w:rFonts w:ascii="仿宋" w:hAnsi="仿宋" w:eastAsia="仿宋" w:cs="Calibri"/>
          <w:b/>
          <w:color w:val="000000"/>
          <w:kern w:val="0"/>
          <w:lang w:val="zh-CN"/>
        </w:rPr>
        <w:t>”</w:t>
      </w:r>
      <w:r>
        <w:rPr>
          <w:rFonts w:hint="eastAsia" w:ascii="仿宋" w:hAnsi="仿宋" w:eastAsia="仿宋" w:cs="宋体"/>
          <w:b/>
          <w:color w:val="000000"/>
          <w:kern w:val="0"/>
          <w:lang w:val="zh-CN"/>
        </w:rPr>
        <w:t>经费财政拨款支出决算总体情况说明</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w:t>
      </w:r>
      <w:r>
        <w:rPr>
          <w:rFonts w:ascii="仿宋" w:hAnsi="仿宋" w:eastAsia="仿宋" w:cs="Calibri"/>
          <w:color w:val="000000"/>
          <w:kern w:val="0"/>
          <w:lang w:val="zh-CN"/>
        </w:rPr>
        <w:t>“</w:t>
      </w:r>
      <w:r>
        <w:rPr>
          <w:rFonts w:hint="eastAsia" w:ascii="仿宋" w:hAnsi="仿宋" w:eastAsia="仿宋" w:cs="宋体"/>
          <w:color w:val="000000"/>
          <w:kern w:val="0"/>
          <w:lang w:val="zh-CN"/>
        </w:rPr>
        <w:t>三公</w:t>
      </w:r>
      <w:r>
        <w:rPr>
          <w:rFonts w:ascii="仿宋" w:hAnsi="仿宋" w:eastAsia="仿宋" w:cs="Calibri"/>
          <w:color w:val="000000"/>
          <w:kern w:val="0"/>
          <w:lang w:val="zh-CN"/>
        </w:rPr>
        <w:t>”</w:t>
      </w:r>
      <w:r>
        <w:rPr>
          <w:rFonts w:hint="eastAsia" w:ascii="仿宋" w:hAnsi="仿宋" w:eastAsia="仿宋" w:cs="宋体"/>
          <w:color w:val="000000"/>
          <w:kern w:val="0"/>
          <w:lang w:val="zh-CN"/>
        </w:rPr>
        <w:t>经费财政拨款支出预算为48.56万元，支出决算为</w:t>
      </w:r>
      <w:r>
        <w:rPr>
          <w:rFonts w:ascii="仿宋" w:hAnsi="仿宋" w:eastAsia="仿宋" w:cs="宋体"/>
          <w:color w:val="000000"/>
          <w:kern w:val="0"/>
          <w:lang w:val="zh-CN"/>
        </w:rPr>
        <w:t>14.21</w:t>
      </w:r>
      <w:r>
        <w:rPr>
          <w:rFonts w:hint="eastAsia" w:ascii="仿宋" w:hAnsi="仿宋" w:eastAsia="仿宋" w:cs="宋体"/>
          <w:color w:val="000000"/>
          <w:kern w:val="0"/>
          <w:lang w:val="zh-CN"/>
        </w:rPr>
        <w:t>万元，完成预算的29.26</w:t>
      </w:r>
      <w:r>
        <w:rPr>
          <w:rFonts w:ascii="仿宋" w:hAnsi="仿宋" w:eastAsia="仿宋" w:cs="宋体"/>
          <w:color w:val="000000"/>
          <w:kern w:val="0"/>
          <w:lang w:val="zh-CN"/>
        </w:rPr>
        <w:t>%</w:t>
      </w:r>
      <w:r>
        <w:rPr>
          <w:rFonts w:hint="eastAsia" w:ascii="仿宋" w:hAnsi="仿宋" w:eastAsia="仿宋" w:cs="宋体"/>
          <w:color w:val="000000"/>
          <w:kern w:val="0"/>
          <w:lang w:val="zh-CN"/>
        </w:rPr>
        <w:t>。</w:t>
      </w:r>
      <w:r>
        <w:rPr>
          <w:rFonts w:ascii="仿宋" w:hAnsi="仿宋" w:eastAsia="仿宋" w:cs="宋体"/>
          <w:color w:val="000000"/>
          <w:kern w:val="0"/>
          <w:lang w:val="zh-CN"/>
        </w:rPr>
        <w:t>2019</w:t>
      </w:r>
      <w:r>
        <w:rPr>
          <w:rFonts w:hint="eastAsia" w:ascii="仿宋" w:hAnsi="仿宋" w:eastAsia="仿宋" w:cs="宋体"/>
          <w:color w:val="000000"/>
          <w:kern w:val="0"/>
          <w:lang w:val="zh-CN"/>
        </w:rPr>
        <w:t>年度</w:t>
      </w:r>
      <w:r>
        <w:rPr>
          <w:rFonts w:ascii="仿宋" w:hAnsi="仿宋" w:eastAsia="仿宋" w:cs="Calibri"/>
          <w:color w:val="000000"/>
          <w:kern w:val="0"/>
          <w:lang w:val="zh-CN"/>
        </w:rPr>
        <w:t>“</w:t>
      </w:r>
      <w:r>
        <w:rPr>
          <w:rFonts w:hint="eastAsia" w:ascii="仿宋" w:hAnsi="仿宋" w:eastAsia="仿宋" w:cs="宋体"/>
          <w:color w:val="000000"/>
          <w:kern w:val="0"/>
          <w:lang w:val="zh-CN"/>
        </w:rPr>
        <w:t>三公</w:t>
      </w:r>
      <w:r>
        <w:rPr>
          <w:rFonts w:ascii="仿宋" w:hAnsi="仿宋" w:eastAsia="仿宋" w:cs="Calibri"/>
          <w:color w:val="000000"/>
          <w:kern w:val="0"/>
          <w:lang w:val="zh-CN"/>
        </w:rPr>
        <w:t>”</w:t>
      </w:r>
      <w:r>
        <w:rPr>
          <w:rFonts w:hint="eastAsia" w:ascii="仿宋" w:hAnsi="仿宋" w:eastAsia="仿宋" w:cs="宋体"/>
          <w:color w:val="000000"/>
          <w:kern w:val="0"/>
          <w:lang w:val="zh-CN"/>
        </w:rPr>
        <w:t>经费支出决算数与预算数存在差异的主要原因是年初预算数为原国土局和原规划局两个单位的计划数，预算数额多；</w:t>
      </w:r>
      <w:r>
        <w:rPr>
          <w:rFonts w:hint="eastAsia" w:ascii="仿宋" w:hAnsi="仿宋" w:eastAsia="仿宋" w:cs="仿宋"/>
          <w:color w:val="000000"/>
        </w:rPr>
        <w:t>我局认真贯彻落实中央八项规定精神，坚持厉行节约，进一步规范公务接待，强化公务用车管理，严格控制“三公”经费支出，全年实际支出比预算有所节约。</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（二）</w:t>
      </w:r>
      <w:r>
        <w:rPr>
          <w:rFonts w:ascii="仿宋" w:hAnsi="仿宋" w:eastAsia="仿宋" w:cs="Calibri"/>
          <w:b/>
          <w:color w:val="000000"/>
          <w:kern w:val="0"/>
          <w:lang w:val="zh-CN"/>
        </w:rPr>
        <w:t>“</w:t>
      </w:r>
      <w:r>
        <w:rPr>
          <w:rFonts w:hint="eastAsia" w:ascii="仿宋" w:hAnsi="仿宋" w:eastAsia="仿宋" w:cs="宋体"/>
          <w:b/>
          <w:color w:val="000000"/>
          <w:kern w:val="0"/>
          <w:lang w:val="zh-CN"/>
        </w:rPr>
        <w:t>三公</w:t>
      </w:r>
      <w:r>
        <w:rPr>
          <w:rFonts w:ascii="仿宋" w:hAnsi="仿宋" w:eastAsia="仿宋" w:cs="Calibri"/>
          <w:b/>
          <w:color w:val="000000"/>
          <w:kern w:val="0"/>
          <w:lang w:val="zh-CN"/>
        </w:rPr>
        <w:t>”</w:t>
      </w:r>
      <w:r>
        <w:rPr>
          <w:rFonts w:hint="eastAsia" w:ascii="仿宋" w:hAnsi="仿宋" w:eastAsia="仿宋" w:cs="宋体"/>
          <w:b/>
          <w:color w:val="000000"/>
          <w:kern w:val="0"/>
          <w:lang w:val="zh-CN"/>
        </w:rPr>
        <w:t>经费财政拨款支出决算具体情况说明</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w:t>
      </w:r>
      <w:r>
        <w:rPr>
          <w:rFonts w:ascii="仿宋" w:hAnsi="仿宋" w:eastAsia="仿宋" w:cs="Calibri"/>
          <w:color w:val="000000"/>
          <w:kern w:val="0"/>
          <w:lang w:val="zh-CN"/>
        </w:rPr>
        <w:t>“</w:t>
      </w:r>
      <w:r>
        <w:rPr>
          <w:rFonts w:hint="eastAsia" w:ascii="仿宋" w:hAnsi="仿宋" w:eastAsia="仿宋" w:cs="宋体"/>
          <w:color w:val="000000"/>
          <w:kern w:val="0"/>
          <w:lang w:val="zh-CN"/>
        </w:rPr>
        <w:t>三公</w:t>
      </w:r>
      <w:r>
        <w:rPr>
          <w:rFonts w:ascii="仿宋" w:hAnsi="仿宋" w:eastAsia="仿宋" w:cs="Calibri"/>
          <w:color w:val="000000"/>
          <w:kern w:val="0"/>
          <w:lang w:val="zh-CN"/>
        </w:rPr>
        <w:t>”</w:t>
      </w:r>
      <w:r>
        <w:rPr>
          <w:rFonts w:hint="eastAsia" w:ascii="仿宋" w:hAnsi="仿宋" w:eastAsia="仿宋" w:cs="宋体"/>
          <w:color w:val="000000"/>
          <w:kern w:val="0"/>
          <w:lang w:val="zh-CN"/>
        </w:rPr>
        <w:t>经费财政拨款支出决算中，因公出国（境）费支出决算</w:t>
      </w:r>
      <w:r>
        <w:rPr>
          <w:rFonts w:ascii="仿宋" w:hAnsi="仿宋" w:eastAsia="仿宋" w:cs="宋体"/>
          <w:color w:val="000000"/>
          <w:kern w:val="0"/>
          <w:lang w:val="zh-CN"/>
        </w:rPr>
        <w:t>0</w:t>
      </w:r>
      <w:r>
        <w:rPr>
          <w:rFonts w:hint="eastAsia" w:ascii="仿宋" w:hAnsi="仿宋" w:eastAsia="仿宋" w:cs="宋体"/>
          <w:color w:val="000000"/>
          <w:kern w:val="0"/>
          <w:lang w:val="zh-CN"/>
        </w:rPr>
        <w:t>万元；公务用车购置及运行费支出决算</w:t>
      </w:r>
      <w:r>
        <w:rPr>
          <w:rFonts w:ascii="仿宋" w:hAnsi="仿宋" w:eastAsia="仿宋" w:cs="宋体"/>
          <w:color w:val="000000"/>
          <w:kern w:val="0"/>
          <w:lang w:val="zh-CN"/>
        </w:rPr>
        <w:t>12.5</w:t>
      </w:r>
      <w:r>
        <w:rPr>
          <w:rFonts w:hint="eastAsia" w:ascii="仿宋" w:hAnsi="仿宋" w:eastAsia="仿宋" w:cs="宋体"/>
          <w:color w:val="000000"/>
          <w:kern w:val="0"/>
          <w:lang w:val="zh-CN"/>
        </w:rPr>
        <w:t>5万元，完成预算的28.31</w:t>
      </w:r>
      <w:r>
        <w:rPr>
          <w:rFonts w:ascii="仿宋" w:hAnsi="仿宋" w:eastAsia="仿宋" w:cs="宋体"/>
          <w:color w:val="000000"/>
          <w:kern w:val="0"/>
          <w:lang w:val="zh-CN"/>
        </w:rPr>
        <w:t>%</w:t>
      </w:r>
      <w:r>
        <w:rPr>
          <w:rFonts w:hint="eastAsia" w:ascii="仿宋" w:hAnsi="仿宋" w:eastAsia="仿宋" w:cs="宋体"/>
          <w:color w:val="000000"/>
          <w:kern w:val="0"/>
          <w:lang w:val="zh-CN"/>
        </w:rPr>
        <w:t>，占88.32</w:t>
      </w:r>
      <w:r>
        <w:rPr>
          <w:rFonts w:ascii="仿宋" w:hAnsi="仿宋" w:eastAsia="仿宋" w:cs="宋体"/>
          <w:color w:val="000000"/>
          <w:kern w:val="0"/>
          <w:lang w:val="zh-CN"/>
        </w:rPr>
        <w:t>%</w:t>
      </w:r>
      <w:r>
        <w:rPr>
          <w:rFonts w:hint="eastAsia" w:ascii="仿宋" w:hAnsi="仿宋" w:eastAsia="仿宋" w:cs="宋体"/>
          <w:color w:val="000000"/>
          <w:kern w:val="0"/>
          <w:lang w:val="zh-CN"/>
        </w:rPr>
        <w:t>；公务接待费支出决算</w:t>
      </w:r>
      <w:r>
        <w:rPr>
          <w:rFonts w:ascii="仿宋" w:hAnsi="仿宋" w:eastAsia="仿宋" w:cs="宋体"/>
          <w:color w:val="000000"/>
          <w:kern w:val="0"/>
          <w:lang w:val="zh-CN"/>
        </w:rPr>
        <w:t>1.66</w:t>
      </w:r>
      <w:r>
        <w:rPr>
          <w:rFonts w:hint="eastAsia" w:ascii="仿宋" w:hAnsi="仿宋" w:eastAsia="仿宋" w:cs="宋体"/>
          <w:color w:val="000000"/>
          <w:kern w:val="0"/>
          <w:lang w:val="zh-CN"/>
        </w:rPr>
        <w:t>万元，完成预算的39.24</w:t>
      </w:r>
      <w:r>
        <w:rPr>
          <w:rFonts w:ascii="仿宋" w:hAnsi="仿宋" w:eastAsia="仿宋" w:cs="宋体"/>
          <w:color w:val="000000"/>
          <w:kern w:val="0"/>
          <w:lang w:val="zh-CN"/>
        </w:rPr>
        <w:t>%</w:t>
      </w:r>
      <w:r>
        <w:rPr>
          <w:rFonts w:hint="eastAsia" w:ascii="仿宋" w:hAnsi="仿宋" w:eastAsia="仿宋" w:cs="宋体"/>
          <w:color w:val="000000"/>
          <w:kern w:val="0"/>
          <w:lang w:val="zh-CN"/>
        </w:rPr>
        <w:t>，占11.68</w:t>
      </w:r>
      <w:r>
        <w:rPr>
          <w:rFonts w:ascii="仿宋" w:hAnsi="仿宋" w:eastAsia="仿宋" w:cs="宋体"/>
          <w:color w:val="000000"/>
          <w:kern w:val="0"/>
          <w:lang w:val="zh-CN"/>
        </w:rPr>
        <w:t>%</w:t>
      </w:r>
      <w:r>
        <w:rPr>
          <w:rFonts w:hint="eastAsia" w:ascii="仿宋" w:hAnsi="仿宋" w:eastAsia="仿宋" w:cs="宋体"/>
          <w:color w:val="000000"/>
          <w:kern w:val="0"/>
          <w:lang w:val="zh-CN"/>
        </w:rPr>
        <w:t>。具体情况如下：</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1</w:t>
      </w:r>
      <w:r>
        <w:rPr>
          <w:rFonts w:hint="eastAsia" w:ascii="仿宋" w:hAnsi="仿宋" w:eastAsia="仿宋" w:cs="宋体"/>
          <w:color w:val="000000"/>
          <w:kern w:val="0"/>
          <w:lang w:val="zh-CN"/>
        </w:rPr>
        <w:t>、因公出国（境）费预算为0万元，支出决算为</w:t>
      </w:r>
      <w:r>
        <w:rPr>
          <w:rFonts w:ascii="仿宋" w:hAnsi="仿宋" w:eastAsia="仿宋" w:cs="宋体"/>
          <w:color w:val="000000"/>
          <w:kern w:val="0"/>
          <w:lang w:val="zh-CN"/>
        </w:rPr>
        <w:t>0</w:t>
      </w:r>
      <w:r>
        <w:rPr>
          <w:rFonts w:hint="eastAsia" w:ascii="仿宋" w:hAnsi="仿宋" w:eastAsia="仿宋" w:cs="宋体"/>
          <w:color w:val="000000"/>
          <w:kern w:val="0"/>
          <w:lang w:val="zh-CN"/>
        </w:rPr>
        <w:t>万元。</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w:t>
      </w:r>
      <w:r>
        <w:rPr>
          <w:rFonts w:hint="eastAsia" w:ascii="仿宋" w:hAnsi="仿宋" w:eastAsia="仿宋" w:cs="宋体"/>
          <w:color w:val="000000"/>
          <w:kern w:val="0"/>
          <w:lang w:val="zh-CN"/>
        </w:rPr>
        <w:t>、公务用车购置及运行费预算为44.33万元，支出决算为</w:t>
      </w:r>
      <w:r>
        <w:rPr>
          <w:rFonts w:ascii="仿宋" w:hAnsi="仿宋" w:eastAsia="仿宋" w:cs="宋体"/>
          <w:color w:val="000000"/>
          <w:kern w:val="0"/>
          <w:lang w:val="zh-CN"/>
        </w:rPr>
        <w:t>12.5</w:t>
      </w:r>
      <w:r>
        <w:rPr>
          <w:rFonts w:hint="eastAsia" w:ascii="仿宋" w:hAnsi="仿宋" w:eastAsia="仿宋" w:cs="宋体"/>
          <w:color w:val="000000"/>
          <w:kern w:val="0"/>
          <w:lang w:val="zh-CN"/>
        </w:rPr>
        <w:t>5万元，完成预算的28.31</w:t>
      </w:r>
      <w:r>
        <w:rPr>
          <w:rFonts w:ascii="仿宋" w:hAnsi="仿宋" w:eastAsia="仿宋" w:cs="宋体"/>
          <w:color w:val="000000"/>
          <w:kern w:val="0"/>
          <w:lang w:val="zh-CN"/>
        </w:rPr>
        <w:t>%</w:t>
      </w:r>
      <w:r>
        <w:rPr>
          <w:rFonts w:hint="eastAsia" w:ascii="仿宋" w:hAnsi="仿宋" w:eastAsia="仿宋" w:cs="宋体"/>
          <w:color w:val="000000"/>
          <w:kern w:val="0"/>
          <w:lang w:val="zh-CN"/>
        </w:rPr>
        <w:t>。决算数与预算数存在差异的主要原因是年初预算数为原国土局和原规划局两个单位的计划数，预算数额多；单位严格按照公车运行管理办法，进一步压缩公车运行开支。其中：</w:t>
      </w:r>
    </w:p>
    <w:p>
      <w:pPr>
        <w:autoSpaceDE w:val="0"/>
        <w:autoSpaceDN w:val="0"/>
        <w:adjustRightInd w:val="0"/>
        <w:spacing w:line="360" w:lineRule="auto"/>
        <w:ind w:firstLine="640"/>
        <w:rPr>
          <w:rFonts w:ascii="仿宋" w:hAnsi="仿宋" w:eastAsia="仿宋"/>
          <w:color w:val="000000"/>
          <w:kern w:val="0"/>
          <w:lang w:val="zh-CN"/>
        </w:rPr>
      </w:pPr>
      <w:r>
        <w:rPr>
          <w:rFonts w:hint="eastAsia" w:ascii="仿宋" w:hAnsi="仿宋" w:eastAsia="仿宋" w:cs="宋体"/>
          <w:color w:val="000000"/>
          <w:kern w:val="0"/>
          <w:lang w:val="zh-CN"/>
        </w:rPr>
        <w:t>公务用车购置支出为</w:t>
      </w:r>
      <w:r>
        <w:rPr>
          <w:rFonts w:ascii="仿宋" w:hAnsi="仿宋" w:eastAsia="仿宋" w:cs="宋体"/>
          <w:color w:val="000000"/>
          <w:kern w:val="0"/>
          <w:lang w:val="zh-CN"/>
        </w:rPr>
        <w:t>0</w:t>
      </w:r>
      <w:r>
        <w:rPr>
          <w:rFonts w:hint="eastAsia" w:ascii="仿宋" w:hAnsi="仿宋" w:eastAsia="仿宋" w:cs="宋体"/>
          <w:color w:val="000000"/>
          <w:kern w:val="0"/>
          <w:lang w:val="zh-CN"/>
        </w:rPr>
        <w:t>万元，公务用车运行支出</w:t>
      </w:r>
      <w:r>
        <w:rPr>
          <w:rFonts w:ascii="仿宋" w:hAnsi="仿宋" w:eastAsia="仿宋" w:cs="宋体"/>
          <w:color w:val="000000"/>
          <w:kern w:val="0"/>
          <w:lang w:val="zh-CN"/>
        </w:rPr>
        <w:t>12.56</w:t>
      </w:r>
      <w:r>
        <w:rPr>
          <w:rFonts w:hint="eastAsia" w:ascii="仿宋" w:hAnsi="仿宋" w:eastAsia="仿宋" w:cs="宋体"/>
          <w:color w:val="000000"/>
          <w:kern w:val="0"/>
          <w:lang w:val="zh-CN"/>
        </w:rPr>
        <w:t>万元。主要用于汽油费、保险费、维修（护）费、过路费。</w:t>
      </w:r>
      <w:r>
        <w:rPr>
          <w:rFonts w:ascii="仿宋" w:hAnsi="仿宋" w:eastAsia="仿宋" w:cs="宋体"/>
          <w:color w:val="000000"/>
          <w:kern w:val="0"/>
          <w:lang w:val="zh-CN"/>
        </w:rPr>
        <w:t>2019</w:t>
      </w:r>
      <w:r>
        <w:rPr>
          <w:rFonts w:hint="eastAsia" w:ascii="仿宋" w:hAnsi="仿宋" w:eastAsia="仿宋" w:cs="宋体"/>
          <w:color w:val="000000"/>
          <w:kern w:val="0"/>
          <w:lang w:val="zh-CN"/>
        </w:rPr>
        <w:t>年期末，部门开支财政拨款的公务用车保有量为19辆。</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3</w:t>
      </w:r>
      <w:r>
        <w:rPr>
          <w:rFonts w:hint="eastAsia" w:ascii="仿宋" w:hAnsi="仿宋" w:eastAsia="仿宋" w:cs="宋体"/>
          <w:color w:val="000000"/>
          <w:kern w:val="0"/>
          <w:lang w:val="zh-CN"/>
        </w:rPr>
        <w:t>、公务接待费预算为4.23万元，支出决算为</w:t>
      </w:r>
      <w:r>
        <w:rPr>
          <w:rFonts w:ascii="仿宋" w:hAnsi="仿宋" w:eastAsia="仿宋" w:cs="宋体"/>
          <w:color w:val="000000"/>
          <w:kern w:val="0"/>
          <w:lang w:val="zh-CN"/>
        </w:rPr>
        <w:t>1.66</w:t>
      </w:r>
      <w:r>
        <w:rPr>
          <w:rFonts w:hint="eastAsia" w:ascii="仿宋" w:hAnsi="仿宋" w:eastAsia="仿宋" w:cs="宋体"/>
          <w:color w:val="000000"/>
          <w:kern w:val="0"/>
          <w:lang w:val="zh-CN"/>
        </w:rPr>
        <w:t>万元，完成预算的39.24</w:t>
      </w:r>
      <w:r>
        <w:rPr>
          <w:rFonts w:ascii="仿宋" w:hAnsi="仿宋" w:eastAsia="仿宋" w:cs="宋体"/>
          <w:color w:val="000000"/>
          <w:kern w:val="0"/>
          <w:lang w:val="zh-CN"/>
        </w:rPr>
        <w:t>%</w:t>
      </w:r>
      <w:r>
        <w:rPr>
          <w:rFonts w:hint="eastAsia" w:ascii="仿宋" w:hAnsi="仿宋" w:eastAsia="仿宋" w:cs="宋体"/>
          <w:color w:val="000000"/>
          <w:kern w:val="0"/>
          <w:lang w:val="zh-CN"/>
        </w:rPr>
        <w:t>。决算数与预算数存在差异的主要原因是年初预算数为原国土局和原规划局两个单位的计划数，预算数额多；到访批次及人数较上年减少；单位严格按照公务接待管理办法，进一步压缩公务接待开支。其中：</w:t>
      </w:r>
    </w:p>
    <w:p>
      <w:pPr>
        <w:autoSpaceDE w:val="0"/>
        <w:autoSpaceDN w:val="0"/>
        <w:adjustRightInd w:val="0"/>
        <w:spacing w:line="360" w:lineRule="auto"/>
        <w:ind w:firstLine="640"/>
        <w:rPr>
          <w:rFonts w:ascii="仿宋" w:hAnsi="仿宋" w:eastAsia="仿宋"/>
          <w:color w:val="000000"/>
          <w:kern w:val="0"/>
          <w:lang w:val="zh-CN"/>
        </w:rPr>
      </w:pPr>
      <w:r>
        <w:rPr>
          <w:rFonts w:hint="eastAsia" w:ascii="仿宋" w:hAnsi="仿宋" w:eastAsia="仿宋" w:cs="宋体"/>
          <w:color w:val="000000"/>
          <w:kern w:val="0"/>
          <w:lang w:val="zh-CN"/>
        </w:rPr>
        <w:t>外宾接待支出0万元。</w:t>
      </w:r>
    </w:p>
    <w:p>
      <w:pPr>
        <w:autoSpaceDE w:val="0"/>
        <w:autoSpaceDN w:val="0"/>
        <w:adjustRightInd w:val="0"/>
        <w:spacing w:line="360" w:lineRule="auto"/>
        <w:ind w:firstLine="640"/>
        <w:rPr>
          <w:rFonts w:ascii="仿宋" w:hAnsi="仿宋" w:eastAsia="仿宋"/>
          <w:color w:val="000000"/>
          <w:kern w:val="0"/>
          <w:lang w:val="zh-CN"/>
        </w:rPr>
      </w:pPr>
      <w:r>
        <w:rPr>
          <w:rFonts w:hint="eastAsia" w:ascii="仿宋" w:hAnsi="仿宋" w:eastAsia="仿宋" w:cs="宋体"/>
          <w:color w:val="000000"/>
          <w:kern w:val="0"/>
          <w:lang w:val="zh-CN"/>
        </w:rPr>
        <w:t>其他国内公务接待支出0万元。</w:t>
      </w:r>
      <w:r>
        <w:rPr>
          <w:rFonts w:ascii="仿宋" w:hAnsi="仿宋" w:eastAsia="仿宋" w:cs="宋体"/>
          <w:color w:val="000000"/>
          <w:kern w:val="0"/>
          <w:lang w:val="zh-CN"/>
        </w:rPr>
        <w:t>2019</w:t>
      </w:r>
      <w:r>
        <w:rPr>
          <w:rFonts w:hint="eastAsia" w:ascii="仿宋" w:hAnsi="仿宋" w:eastAsia="仿宋" w:cs="宋体"/>
          <w:color w:val="000000"/>
          <w:kern w:val="0"/>
          <w:lang w:val="zh-CN"/>
        </w:rPr>
        <w:t>年共接待国内来访团组25个、来宾265人次（不包括陪同人员）。</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八、预算绩效情况说明</w:t>
      </w:r>
    </w:p>
    <w:p>
      <w:pPr>
        <w:pStyle w:val="2"/>
        <w:kinsoku w:val="0"/>
        <w:overflowPunct w:val="0"/>
        <w:snapToGrid w:val="0"/>
        <w:spacing w:line="360" w:lineRule="auto"/>
        <w:ind w:left="0" w:firstLine="640" w:firstLineChars="200"/>
        <w:jc w:val="both"/>
        <w:rPr>
          <w:rFonts w:ascii="仿宋" w:hAnsi="仿宋" w:eastAsia="仿宋"/>
          <w:color w:val="000000"/>
        </w:rPr>
      </w:pPr>
      <w:r>
        <w:rPr>
          <w:rFonts w:hint="eastAsia" w:ascii="仿宋" w:hAnsi="仿宋" w:eastAsia="仿宋" w:cs="宋体"/>
          <w:color w:val="000000"/>
          <w:kern w:val="0"/>
          <w:lang w:val="zh-CN"/>
        </w:rPr>
        <w:t>截至2019年12月31日，三门峡市自然资源和规划局</w:t>
      </w:r>
      <w:r>
        <w:rPr>
          <w:rFonts w:hint="eastAsia" w:ascii="仿宋" w:hAnsi="仿宋" w:eastAsia="仿宋"/>
          <w:color w:val="000000"/>
        </w:rPr>
        <w:t>暂未实行预算绩效考核。</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九、政府性基金预算财政拨款支出决算情况说明</w:t>
      </w:r>
    </w:p>
    <w:p>
      <w:pPr>
        <w:autoSpaceDE w:val="0"/>
        <w:autoSpaceDN w:val="0"/>
        <w:adjustRightInd w:val="0"/>
        <w:spacing w:line="360" w:lineRule="auto"/>
        <w:ind w:firstLine="640"/>
        <w:rPr>
          <w:rFonts w:ascii="仿宋" w:hAnsi="仿宋" w:eastAsia="仿宋"/>
          <w:color w:val="FF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年度政府性基金预算财政拨款支出年初预算为</w:t>
      </w:r>
      <w:r>
        <w:rPr>
          <w:rFonts w:ascii="仿宋" w:hAnsi="仿宋" w:eastAsia="仿宋" w:cs="宋体"/>
          <w:color w:val="000000"/>
          <w:kern w:val="0"/>
          <w:lang w:val="zh-CN"/>
        </w:rPr>
        <w:t>763</w:t>
      </w:r>
      <w:r>
        <w:rPr>
          <w:rFonts w:hint="eastAsia" w:ascii="仿宋" w:hAnsi="仿宋" w:eastAsia="仿宋" w:cs="宋体"/>
          <w:color w:val="000000"/>
          <w:kern w:val="0"/>
          <w:lang w:val="zh-CN"/>
        </w:rPr>
        <w:t>万元，支出决算为</w:t>
      </w:r>
      <w:r>
        <w:rPr>
          <w:rFonts w:ascii="仿宋" w:hAnsi="仿宋" w:eastAsia="仿宋" w:cs="宋体"/>
          <w:color w:val="000000"/>
          <w:kern w:val="0"/>
          <w:lang w:val="zh-CN"/>
        </w:rPr>
        <w:t>14,343.2</w:t>
      </w:r>
      <w:r>
        <w:rPr>
          <w:rFonts w:hint="eastAsia" w:ascii="仿宋" w:hAnsi="仿宋" w:eastAsia="仿宋" w:cs="宋体"/>
          <w:color w:val="000000"/>
          <w:kern w:val="0"/>
          <w:lang w:val="zh-CN"/>
        </w:rPr>
        <w:t>万元，完成年初预算的</w:t>
      </w:r>
      <w:r>
        <w:rPr>
          <w:rFonts w:ascii="仿宋" w:hAnsi="仿宋" w:eastAsia="仿宋" w:cs="宋体"/>
          <w:color w:val="000000"/>
          <w:kern w:val="0"/>
          <w:lang w:val="zh-CN"/>
        </w:rPr>
        <w:t>1,879.842264%</w:t>
      </w:r>
      <w:r>
        <w:rPr>
          <w:rFonts w:hint="eastAsia" w:ascii="仿宋" w:hAnsi="仿宋" w:eastAsia="仿宋" w:cs="宋体"/>
          <w:color w:val="000000"/>
          <w:kern w:val="0"/>
          <w:lang w:val="zh-CN"/>
        </w:rPr>
        <w:t>。主要用于征地和拆迁补偿支出、土地出让业务支出、征地和拆迁补偿支出、其他土地储备专项债券收入安排的支出。其中征地和拆迁补偿项目年末结转和结余资金数额较大，主要原因：部分土地出让业务未按照计划完成。</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十、机关运行经费支出情况说明</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年度机关运行经费年初预算为120万元，支出决算为</w:t>
      </w:r>
      <w:r>
        <w:rPr>
          <w:rFonts w:ascii="仿宋" w:hAnsi="仿宋" w:eastAsia="仿宋" w:cs="宋体"/>
          <w:color w:val="000000"/>
          <w:kern w:val="0"/>
          <w:lang w:val="zh-CN"/>
        </w:rPr>
        <w:t>95.58</w:t>
      </w:r>
      <w:r>
        <w:rPr>
          <w:rFonts w:hint="eastAsia" w:ascii="仿宋" w:hAnsi="仿宋" w:eastAsia="仿宋" w:cs="宋体"/>
          <w:color w:val="000000"/>
          <w:kern w:val="0"/>
          <w:lang w:val="zh-CN"/>
        </w:rPr>
        <w:t>万元，完成年初预算的79.65</w:t>
      </w:r>
      <w:r>
        <w:rPr>
          <w:rFonts w:ascii="仿宋" w:hAnsi="仿宋" w:eastAsia="仿宋" w:cs="宋体"/>
          <w:color w:val="000000"/>
          <w:kern w:val="0"/>
          <w:lang w:val="zh-CN"/>
        </w:rPr>
        <w:t>%</w:t>
      </w:r>
      <w:r>
        <w:rPr>
          <w:rFonts w:hint="eastAsia" w:ascii="仿宋" w:hAnsi="仿宋" w:eastAsia="仿宋" w:cs="宋体"/>
          <w:color w:val="000000"/>
          <w:kern w:val="0"/>
          <w:lang w:val="zh-CN"/>
        </w:rPr>
        <w:t>。决算数与年初预算数存在差异的主要原因是</w:t>
      </w:r>
      <w:r>
        <w:rPr>
          <w:rFonts w:hint="eastAsia" w:ascii="仿宋" w:hAnsi="仿宋" w:eastAsia="仿宋" w:cs="仿宋"/>
          <w:color w:val="000000"/>
        </w:rPr>
        <w:t>我局认真贯彻落实中央八项规定精神，坚持厉行节约，进一步规范公务接待，强化公务用车管理，全年实际支出比预算有所节约。</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十一、政府采购支出情况说明</w:t>
      </w:r>
    </w:p>
    <w:p>
      <w:pPr>
        <w:autoSpaceDE w:val="0"/>
        <w:autoSpaceDN w:val="0"/>
        <w:adjustRightInd w:val="0"/>
        <w:spacing w:line="360" w:lineRule="auto"/>
        <w:ind w:firstLine="640"/>
        <w:rPr>
          <w:rFonts w:ascii="仿宋" w:hAnsi="仿宋" w:eastAsia="仿宋" w:cs="宋体"/>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年度政府采购支出总额444.79万元，其中：政府采购货物支出4.75万元、政府采购工程支出0万元、政府采购服务支出440.04万元。授予中小企业合同金额440.04万元，占政府采购支出总额的98.93</w:t>
      </w:r>
      <w:r>
        <w:rPr>
          <w:rFonts w:ascii="仿宋" w:hAnsi="仿宋" w:eastAsia="仿宋" w:cs="宋体"/>
          <w:color w:val="000000"/>
          <w:kern w:val="0"/>
          <w:lang w:val="zh-CN"/>
        </w:rPr>
        <w:t>%</w:t>
      </w:r>
      <w:r>
        <w:rPr>
          <w:rFonts w:hint="eastAsia" w:ascii="仿宋" w:hAnsi="仿宋" w:eastAsia="仿宋" w:cs="宋体"/>
          <w:color w:val="000000"/>
          <w:kern w:val="0"/>
          <w:lang w:val="zh-CN"/>
        </w:rPr>
        <w:t>。其中：授予小微企业合同金额440.04万元，占政府采购支出总额的98.93</w:t>
      </w:r>
      <w:r>
        <w:rPr>
          <w:rFonts w:ascii="仿宋" w:hAnsi="仿宋" w:eastAsia="仿宋" w:cs="宋体"/>
          <w:color w:val="000000"/>
          <w:kern w:val="0"/>
          <w:lang w:val="zh-CN"/>
        </w:rPr>
        <w:t>%</w:t>
      </w:r>
      <w:r>
        <w:rPr>
          <w:rFonts w:hint="eastAsia" w:ascii="仿宋" w:hAnsi="仿宋" w:eastAsia="仿宋" w:cs="宋体"/>
          <w:color w:val="000000"/>
          <w:kern w:val="0"/>
          <w:lang w:val="zh-CN"/>
        </w:rPr>
        <w:t>。</w:t>
      </w:r>
    </w:p>
    <w:p>
      <w:pPr>
        <w:autoSpaceDE w:val="0"/>
        <w:autoSpaceDN w:val="0"/>
        <w:adjustRightInd w:val="0"/>
        <w:spacing w:line="360" w:lineRule="auto"/>
        <w:ind w:firstLine="643"/>
        <w:rPr>
          <w:rFonts w:ascii="仿宋" w:hAnsi="仿宋" w:eastAsia="仿宋"/>
          <w:b/>
          <w:color w:val="000000"/>
          <w:kern w:val="0"/>
          <w:lang w:val="zh-CN"/>
        </w:rPr>
      </w:pPr>
      <w:r>
        <w:rPr>
          <w:rFonts w:hint="eastAsia" w:ascii="仿宋" w:hAnsi="仿宋" w:eastAsia="仿宋" w:cs="宋体"/>
          <w:b/>
          <w:color w:val="000000"/>
          <w:kern w:val="0"/>
          <w:lang w:val="zh-CN"/>
        </w:rPr>
        <w:t>十二、国有资产占用情况说明</w:t>
      </w:r>
    </w:p>
    <w:p>
      <w:pPr>
        <w:autoSpaceDE w:val="0"/>
        <w:autoSpaceDN w:val="0"/>
        <w:adjustRightInd w:val="0"/>
        <w:spacing w:line="360" w:lineRule="auto"/>
        <w:ind w:firstLine="640"/>
        <w:rPr>
          <w:rFonts w:ascii="仿宋" w:hAnsi="仿宋" w:eastAsia="仿宋"/>
          <w:color w:val="000000"/>
          <w:kern w:val="0"/>
          <w:lang w:val="zh-CN"/>
        </w:rPr>
      </w:pPr>
      <w:r>
        <w:rPr>
          <w:rFonts w:ascii="仿宋" w:hAnsi="仿宋" w:eastAsia="仿宋" w:cs="宋体"/>
          <w:color w:val="000000"/>
          <w:kern w:val="0"/>
          <w:lang w:val="zh-CN"/>
        </w:rPr>
        <w:t>2019</w:t>
      </w:r>
      <w:r>
        <w:rPr>
          <w:rFonts w:hint="eastAsia" w:ascii="仿宋" w:hAnsi="仿宋" w:eastAsia="仿宋" w:cs="宋体"/>
          <w:color w:val="000000"/>
          <w:kern w:val="0"/>
          <w:lang w:val="zh-CN"/>
        </w:rPr>
        <w:t>年期末，我部门共有车辆</w:t>
      </w:r>
      <w:r>
        <w:rPr>
          <w:rFonts w:ascii="仿宋" w:hAnsi="仿宋" w:eastAsia="仿宋" w:cs="宋体"/>
          <w:color w:val="000000"/>
          <w:kern w:val="0"/>
          <w:lang w:val="zh-CN"/>
        </w:rPr>
        <w:t>19</w:t>
      </w:r>
      <w:r>
        <w:rPr>
          <w:rFonts w:hint="eastAsia" w:ascii="仿宋" w:hAnsi="仿宋" w:eastAsia="仿宋" w:cs="宋体"/>
          <w:color w:val="000000"/>
          <w:kern w:val="0"/>
          <w:lang w:val="zh-CN"/>
        </w:rPr>
        <w:t>辆，其中：省级领导干部用车</w:t>
      </w:r>
      <w:r>
        <w:rPr>
          <w:rFonts w:ascii="仿宋" w:hAnsi="仿宋" w:eastAsia="仿宋" w:cs="宋体"/>
          <w:color w:val="000000"/>
          <w:kern w:val="0"/>
          <w:lang w:val="zh-CN"/>
        </w:rPr>
        <w:t>0</w:t>
      </w:r>
      <w:r>
        <w:rPr>
          <w:rFonts w:hint="eastAsia" w:ascii="仿宋" w:hAnsi="仿宋" w:eastAsia="仿宋" w:cs="宋体"/>
          <w:color w:val="000000"/>
          <w:kern w:val="0"/>
          <w:lang w:val="zh-CN"/>
        </w:rPr>
        <w:t>辆、主要领导干部用车</w:t>
      </w:r>
      <w:r>
        <w:rPr>
          <w:rFonts w:ascii="仿宋" w:hAnsi="仿宋" w:eastAsia="仿宋" w:cs="宋体"/>
          <w:color w:val="000000"/>
          <w:kern w:val="0"/>
          <w:lang w:val="zh-CN"/>
        </w:rPr>
        <w:t>0</w:t>
      </w:r>
      <w:r>
        <w:rPr>
          <w:rFonts w:hint="eastAsia" w:ascii="仿宋" w:hAnsi="仿宋" w:eastAsia="仿宋" w:cs="宋体"/>
          <w:color w:val="000000"/>
          <w:kern w:val="0"/>
          <w:lang w:val="zh-CN"/>
        </w:rPr>
        <w:t>辆、机要通信用车</w:t>
      </w:r>
      <w:r>
        <w:rPr>
          <w:rFonts w:ascii="仿宋" w:hAnsi="仿宋" w:eastAsia="仿宋" w:cs="宋体"/>
          <w:color w:val="000000"/>
          <w:kern w:val="0"/>
          <w:lang w:val="zh-CN"/>
        </w:rPr>
        <w:t>0</w:t>
      </w:r>
      <w:r>
        <w:rPr>
          <w:rFonts w:hint="eastAsia" w:ascii="仿宋" w:hAnsi="仿宋" w:eastAsia="仿宋" w:cs="宋体"/>
          <w:color w:val="000000"/>
          <w:kern w:val="0"/>
          <w:lang w:val="zh-CN"/>
        </w:rPr>
        <w:t>辆、应急保障车</w:t>
      </w:r>
      <w:r>
        <w:rPr>
          <w:rFonts w:ascii="仿宋" w:hAnsi="仿宋" w:eastAsia="仿宋" w:cs="宋体"/>
          <w:color w:val="000000"/>
          <w:kern w:val="0"/>
          <w:lang w:val="zh-CN"/>
        </w:rPr>
        <w:t>0</w:t>
      </w:r>
      <w:r>
        <w:rPr>
          <w:rFonts w:hint="eastAsia" w:ascii="仿宋" w:hAnsi="仿宋" w:eastAsia="仿宋" w:cs="宋体"/>
          <w:color w:val="000000"/>
          <w:kern w:val="0"/>
          <w:lang w:val="zh-CN"/>
        </w:rPr>
        <w:t>辆、执法执勤用车</w:t>
      </w:r>
      <w:r>
        <w:rPr>
          <w:rFonts w:ascii="仿宋" w:hAnsi="仿宋" w:eastAsia="仿宋" w:cs="宋体"/>
          <w:color w:val="000000"/>
          <w:kern w:val="0"/>
          <w:lang w:val="zh-CN"/>
        </w:rPr>
        <w:t>10</w:t>
      </w:r>
      <w:r>
        <w:rPr>
          <w:rFonts w:hint="eastAsia" w:ascii="仿宋" w:hAnsi="仿宋" w:eastAsia="仿宋" w:cs="宋体"/>
          <w:color w:val="000000"/>
          <w:kern w:val="0"/>
          <w:lang w:val="zh-CN"/>
        </w:rPr>
        <w:t>辆、特种专业技术用车</w:t>
      </w:r>
      <w:r>
        <w:rPr>
          <w:rFonts w:ascii="仿宋" w:hAnsi="仿宋" w:eastAsia="仿宋" w:cs="宋体"/>
          <w:color w:val="000000"/>
          <w:kern w:val="0"/>
          <w:lang w:val="zh-CN"/>
        </w:rPr>
        <w:t>0</w:t>
      </w:r>
      <w:r>
        <w:rPr>
          <w:rFonts w:hint="eastAsia" w:ascii="仿宋" w:hAnsi="仿宋" w:eastAsia="仿宋" w:cs="宋体"/>
          <w:color w:val="000000"/>
          <w:kern w:val="0"/>
          <w:lang w:val="zh-CN"/>
        </w:rPr>
        <w:t>辆、离退休干部用车</w:t>
      </w:r>
      <w:r>
        <w:rPr>
          <w:rFonts w:ascii="仿宋" w:hAnsi="仿宋" w:eastAsia="仿宋" w:cs="宋体"/>
          <w:color w:val="000000"/>
          <w:kern w:val="0"/>
          <w:lang w:val="zh-CN"/>
        </w:rPr>
        <w:t>0</w:t>
      </w:r>
      <w:r>
        <w:rPr>
          <w:rFonts w:hint="eastAsia" w:ascii="仿宋" w:hAnsi="仿宋" w:eastAsia="仿宋" w:cs="宋体"/>
          <w:color w:val="000000"/>
          <w:kern w:val="0"/>
          <w:lang w:val="zh-CN"/>
        </w:rPr>
        <w:t>辆、其他用车</w:t>
      </w:r>
      <w:r>
        <w:rPr>
          <w:rFonts w:ascii="仿宋" w:hAnsi="仿宋" w:eastAsia="仿宋" w:cs="宋体"/>
          <w:color w:val="000000"/>
          <w:kern w:val="0"/>
          <w:lang w:val="zh-CN"/>
        </w:rPr>
        <w:t>9</w:t>
      </w:r>
      <w:r>
        <w:rPr>
          <w:rFonts w:hint="eastAsia" w:ascii="仿宋" w:hAnsi="仿宋" w:eastAsia="仿宋" w:cs="宋体"/>
          <w:color w:val="000000"/>
          <w:kern w:val="0"/>
          <w:lang w:val="zh-CN"/>
        </w:rPr>
        <w:t>辆；单位价值</w:t>
      </w:r>
      <w:r>
        <w:rPr>
          <w:rFonts w:ascii="仿宋" w:hAnsi="仿宋" w:eastAsia="仿宋" w:cs="宋体"/>
          <w:color w:val="000000"/>
          <w:kern w:val="0"/>
          <w:lang w:val="zh-CN"/>
        </w:rPr>
        <w:t>50</w:t>
      </w:r>
      <w:r>
        <w:rPr>
          <w:rFonts w:hint="eastAsia" w:ascii="仿宋" w:hAnsi="仿宋" w:eastAsia="仿宋" w:cs="宋体"/>
          <w:color w:val="000000"/>
          <w:kern w:val="0"/>
          <w:lang w:val="zh-CN"/>
        </w:rPr>
        <w:t>万元以上通用设备</w:t>
      </w:r>
      <w:r>
        <w:rPr>
          <w:rFonts w:ascii="仿宋" w:hAnsi="仿宋" w:eastAsia="仿宋" w:cs="宋体"/>
          <w:color w:val="000000"/>
          <w:kern w:val="0"/>
          <w:lang w:val="zh-CN"/>
        </w:rPr>
        <w:t>0</w:t>
      </w:r>
      <w:r>
        <w:rPr>
          <w:rFonts w:hint="eastAsia" w:ascii="仿宋" w:hAnsi="仿宋" w:eastAsia="仿宋" w:cs="宋体"/>
          <w:color w:val="000000"/>
          <w:kern w:val="0"/>
          <w:lang w:val="zh-CN"/>
        </w:rPr>
        <w:t>台（套），单位价值</w:t>
      </w:r>
      <w:r>
        <w:rPr>
          <w:rFonts w:ascii="仿宋" w:hAnsi="仿宋" w:eastAsia="仿宋" w:cs="宋体"/>
          <w:color w:val="000000"/>
          <w:kern w:val="0"/>
          <w:lang w:val="zh-CN"/>
        </w:rPr>
        <w:t>100</w:t>
      </w:r>
      <w:r>
        <w:rPr>
          <w:rFonts w:hint="eastAsia" w:ascii="仿宋" w:hAnsi="仿宋" w:eastAsia="仿宋" w:cs="宋体"/>
          <w:color w:val="000000"/>
          <w:kern w:val="0"/>
          <w:lang w:val="zh-CN"/>
        </w:rPr>
        <w:t>万元以上专用设备</w:t>
      </w:r>
      <w:r>
        <w:rPr>
          <w:rFonts w:ascii="仿宋" w:hAnsi="仿宋" w:eastAsia="仿宋" w:cs="宋体"/>
          <w:color w:val="000000"/>
          <w:kern w:val="0"/>
          <w:lang w:val="zh-CN"/>
        </w:rPr>
        <w:t>0</w:t>
      </w:r>
      <w:r>
        <w:rPr>
          <w:rFonts w:hint="eastAsia" w:ascii="仿宋" w:hAnsi="仿宋" w:eastAsia="仿宋" w:cs="宋体"/>
          <w:color w:val="000000"/>
          <w:kern w:val="0"/>
          <w:lang w:val="zh-CN"/>
        </w:rPr>
        <w:t>台（套）。</w:t>
      </w:r>
    </w:p>
    <w:p>
      <w:pPr>
        <w:autoSpaceDE w:val="0"/>
        <w:autoSpaceDN w:val="0"/>
        <w:adjustRightInd w:val="0"/>
        <w:ind w:firstLine="360"/>
        <w:jc w:val="left"/>
        <w:rPr>
          <w:rFonts w:eastAsia="宋体"/>
          <w:kern w:val="0"/>
          <w:sz w:val="18"/>
          <w:szCs w:val="18"/>
          <w:lang w:val="zh-CN"/>
        </w:rPr>
      </w:pPr>
    </w:p>
    <w:p>
      <w:pPr>
        <w:adjustRightInd w:val="0"/>
        <w:snapToGrid w:val="0"/>
        <w:spacing w:line="360" w:lineRule="auto"/>
        <w:ind w:firstLine="640"/>
        <w:rPr>
          <w:rFonts w:ascii="仿宋" w:hAnsi="仿宋" w:eastAsia="仿宋" w:cs="黑体"/>
        </w:rPr>
      </w:pPr>
    </w:p>
    <w:p>
      <w:pPr>
        <w:adjustRightInd w:val="0"/>
        <w:snapToGrid w:val="0"/>
        <w:spacing w:line="360" w:lineRule="auto"/>
        <w:ind w:firstLine="640"/>
        <w:rPr>
          <w:rFonts w:ascii="仿宋" w:hAnsi="仿宋" w:eastAsia="仿宋" w:cs="黑体"/>
        </w:rPr>
      </w:pPr>
    </w:p>
    <w:p>
      <w:pPr>
        <w:adjustRightInd w:val="0"/>
        <w:snapToGrid w:val="0"/>
        <w:spacing w:line="360" w:lineRule="auto"/>
        <w:ind w:firstLine="640"/>
        <w:rPr>
          <w:rFonts w:ascii="仿宋" w:hAnsi="仿宋" w:eastAsia="仿宋" w:cs="黑体"/>
        </w:rPr>
      </w:pPr>
    </w:p>
    <w:p>
      <w:pPr>
        <w:adjustRightInd w:val="0"/>
        <w:snapToGrid w:val="0"/>
        <w:spacing w:line="360" w:lineRule="auto"/>
        <w:ind w:firstLine="640"/>
        <w:rPr>
          <w:rFonts w:ascii="仿宋" w:hAnsi="仿宋" w:eastAsia="仿宋" w:cs="黑体"/>
        </w:rPr>
      </w:pPr>
    </w:p>
    <w:p>
      <w:pPr>
        <w:kinsoku w:val="0"/>
        <w:overflowPunct w:val="0"/>
        <w:adjustRightInd w:val="0"/>
        <w:snapToGrid w:val="0"/>
        <w:spacing w:line="360" w:lineRule="auto"/>
        <w:ind w:right="521" w:firstLine="0" w:firstLineChars="0"/>
        <w:rPr>
          <w:rFonts w:ascii="仿宋" w:hAnsi="仿宋" w:eastAsia="仿宋"/>
        </w:rPr>
      </w:pPr>
    </w:p>
    <w:p>
      <w:pPr>
        <w:kinsoku w:val="0"/>
        <w:overflowPunct w:val="0"/>
        <w:adjustRightInd w:val="0"/>
        <w:snapToGrid w:val="0"/>
        <w:spacing w:line="360" w:lineRule="auto"/>
        <w:ind w:right="521" w:firstLine="0" w:firstLineChars="0"/>
        <w:rPr>
          <w:rFonts w:ascii="仿宋" w:hAnsi="仿宋" w:eastAsia="仿宋"/>
        </w:rPr>
      </w:pPr>
    </w:p>
    <w:p>
      <w:pPr>
        <w:kinsoku w:val="0"/>
        <w:overflowPunct w:val="0"/>
        <w:adjustRightInd w:val="0"/>
        <w:snapToGrid w:val="0"/>
        <w:spacing w:line="360" w:lineRule="auto"/>
        <w:ind w:right="521" w:firstLine="0" w:firstLineChars="0"/>
        <w:jc w:val="both"/>
        <w:rPr>
          <w:rFonts w:hint="eastAsia" w:ascii="黑体" w:hAnsi="黑体" w:eastAsia="黑体" w:cs="黑体"/>
          <w:sz w:val="48"/>
          <w:szCs w:val="48"/>
        </w:rPr>
      </w:pPr>
    </w:p>
    <w:p>
      <w:pPr>
        <w:kinsoku w:val="0"/>
        <w:overflowPunct w:val="0"/>
        <w:adjustRightInd w:val="0"/>
        <w:snapToGrid w:val="0"/>
        <w:spacing w:line="360" w:lineRule="auto"/>
        <w:ind w:right="521" w:firstLine="0" w:firstLineChars="0"/>
        <w:jc w:val="center"/>
        <w:rPr>
          <w:rFonts w:ascii="黑体" w:hAnsi="黑体" w:eastAsia="黑体"/>
          <w:sz w:val="48"/>
          <w:szCs w:val="48"/>
        </w:rPr>
      </w:pPr>
      <w:r>
        <w:rPr>
          <w:rFonts w:hint="eastAsia" w:ascii="黑体" w:hAnsi="黑体" w:eastAsia="黑体" w:cs="黑体"/>
          <w:sz w:val="48"/>
          <w:szCs w:val="48"/>
        </w:rPr>
        <w:t>第四部分</w:t>
      </w:r>
      <w:r>
        <w:rPr>
          <w:rFonts w:hint="eastAsia" w:ascii="黑体" w:hAnsi="黑体" w:eastAsia="黑体" w:cs="黑体"/>
          <w:spacing w:val="-32"/>
          <w:sz w:val="48"/>
          <w:szCs w:val="48"/>
        </w:rPr>
        <w:t xml:space="preserve">  </w:t>
      </w:r>
      <w:r>
        <w:rPr>
          <w:rFonts w:hint="eastAsia" w:ascii="黑体" w:hAnsi="黑体" w:eastAsia="黑体" w:cs="黑体"/>
          <w:sz w:val="48"/>
          <w:szCs w:val="48"/>
        </w:rPr>
        <w:t>名词解释</w:t>
      </w:r>
    </w:p>
    <w:p>
      <w:pPr>
        <w:pStyle w:val="2"/>
        <w:kinsoku w:val="0"/>
        <w:overflowPunct w:val="0"/>
        <w:snapToGrid w:val="0"/>
        <w:spacing w:line="360" w:lineRule="auto"/>
        <w:ind w:left="0" w:firstLine="640" w:firstLineChars="200"/>
        <w:jc w:val="both"/>
        <w:rPr>
          <w:rFonts w:ascii="仿宋" w:hAnsi="仿宋" w:eastAsia="仿宋"/>
        </w:rPr>
      </w:pPr>
      <w:bookmarkStart w:id="0" w:name="_GoBack"/>
      <w:bookmarkEnd w:id="0"/>
    </w:p>
    <w:p>
      <w:pPr>
        <w:pStyle w:val="2"/>
        <w:kinsoku w:val="0"/>
        <w:overflowPunct w:val="0"/>
        <w:snapToGrid w:val="0"/>
        <w:spacing w:line="360" w:lineRule="auto"/>
        <w:ind w:left="0" w:firstLine="640" w:firstLineChars="200"/>
        <w:jc w:val="both"/>
        <w:rPr>
          <w:rFonts w:ascii="仿宋" w:hAnsi="仿宋" w:eastAsia="仿宋" w:cs="Times New Roman"/>
        </w:rPr>
      </w:pPr>
      <w:r>
        <w:rPr>
          <w:rFonts w:hint="eastAsia" w:ascii="仿宋" w:hAnsi="仿宋" w:eastAsia="仿宋"/>
        </w:rPr>
        <w:t>一、财政拨款收入：是指单位从同级政府财政部门取得的各类财政拨款。</w:t>
      </w:r>
    </w:p>
    <w:p>
      <w:pPr>
        <w:pStyle w:val="2"/>
        <w:kinsoku w:val="0"/>
        <w:overflowPunct w:val="0"/>
        <w:snapToGrid w:val="0"/>
        <w:spacing w:line="360" w:lineRule="auto"/>
        <w:ind w:left="0" w:firstLine="640" w:firstLineChars="200"/>
        <w:jc w:val="both"/>
        <w:rPr>
          <w:rFonts w:ascii="仿宋" w:hAnsi="仿宋" w:eastAsia="仿宋" w:cs="Times New Roman"/>
        </w:rPr>
      </w:pPr>
      <w:r>
        <w:rPr>
          <w:rFonts w:hint="eastAsia" w:ascii="仿宋" w:hAnsi="仿宋" w:eastAsia="仿宋"/>
        </w:rPr>
        <w:t>二、事业收入：是指事业单位开展专业活动及辅助活动所取得的收入。</w:t>
      </w:r>
    </w:p>
    <w:p>
      <w:pPr>
        <w:pStyle w:val="2"/>
        <w:kinsoku w:val="0"/>
        <w:overflowPunct w:val="0"/>
        <w:snapToGrid w:val="0"/>
        <w:spacing w:line="360" w:lineRule="auto"/>
        <w:ind w:left="0" w:firstLine="640" w:firstLineChars="200"/>
        <w:jc w:val="both"/>
        <w:rPr>
          <w:rFonts w:ascii="仿宋" w:hAnsi="仿宋" w:eastAsia="仿宋"/>
        </w:rPr>
      </w:pPr>
      <w:r>
        <w:rPr>
          <w:rFonts w:hint="eastAsia" w:ascii="仿宋" w:hAnsi="仿宋" w:eastAsia="仿宋"/>
        </w:rPr>
        <w:t xml:space="preserve">三、其他收入：是指部门取得的除“国土资源拨款”、“事业收入”、“事业单位经营收入”等以外的收入。 </w:t>
      </w:r>
    </w:p>
    <w:p>
      <w:pPr>
        <w:pStyle w:val="2"/>
        <w:kinsoku w:val="0"/>
        <w:overflowPunct w:val="0"/>
        <w:snapToGrid w:val="0"/>
        <w:spacing w:line="360" w:lineRule="auto"/>
        <w:ind w:left="0" w:firstLine="640" w:firstLineChars="200"/>
        <w:jc w:val="both"/>
        <w:rPr>
          <w:rFonts w:ascii="仿宋" w:hAnsi="仿宋" w:eastAsia="仿宋" w:cs="Times New Roman"/>
        </w:rPr>
      </w:pPr>
      <w:r>
        <w:rPr>
          <w:rFonts w:hint="eastAsia" w:ascii="仿宋" w:hAnsi="仿宋" w:eastAsia="仿宋"/>
        </w:rPr>
        <w:t>四、用事业基金弥补收支差额：是指事业单位在当年的“国土资源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pStyle w:val="2"/>
        <w:kinsoku w:val="0"/>
        <w:overflowPunct w:val="0"/>
        <w:snapToGrid w:val="0"/>
        <w:spacing w:line="360" w:lineRule="auto"/>
        <w:ind w:left="0" w:firstLine="640" w:firstLineChars="200"/>
        <w:jc w:val="both"/>
        <w:rPr>
          <w:rFonts w:ascii="仿宋" w:hAnsi="仿宋" w:eastAsia="仿宋" w:cs="Times New Roman"/>
        </w:rPr>
      </w:pPr>
      <w:r>
        <w:rPr>
          <w:rFonts w:hint="eastAsia" w:ascii="仿宋" w:hAnsi="仿宋" w:eastAsia="仿宋"/>
        </w:rPr>
        <w:t>五、上年结转和结余：是指以前年度支出预算因客观条件变化未执行完毕、结转到本年度按有关规定继续使用的资金，既包括国土资源拨款结转和结余，也包括事业收入、经营收入、其他收入的结转和结余。</w:t>
      </w:r>
    </w:p>
    <w:p>
      <w:pPr>
        <w:pStyle w:val="2"/>
        <w:kinsoku w:val="0"/>
        <w:overflowPunct w:val="0"/>
        <w:snapToGrid w:val="0"/>
        <w:spacing w:line="360" w:lineRule="auto"/>
        <w:ind w:left="0" w:firstLine="640" w:firstLineChars="200"/>
        <w:jc w:val="both"/>
        <w:rPr>
          <w:rFonts w:ascii="仿宋" w:hAnsi="仿宋" w:eastAsia="仿宋" w:cs="Times New Roman"/>
        </w:rPr>
      </w:pPr>
      <w:r>
        <w:rPr>
          <w:rFonts w:hint="eastAsia" w:ascii="仿宋" w:hAnsi="仿宋" w:eastAsia="仿宋"/>
        </w:rPr>
        <w:t>六、基本支出：是指为保障机构正常运转、完成日常工作任务所必需的开支，其内容包括人员经费和日常公用经费两部分。</w:t>
      </w:r>
    </w:p>
    <w:p>
      <w:pPr>
        <w:pStyle w:val="2"/>
        <w:kinsoku w:val="0"/>
        <w:overflowPunct w:val="0"/>
        <w:snapToGrid w:val="0"/>
        <w:spacing w:line="360" w:lineRule="auto"/>
        <w:ind w:left="0" w:firstLine="640" w:firstLineChars="200"/>
        <w:jc w:val="both"/>
        <w:rPr>
          <w:rFonts w:ascii="仿宋" w:hAnsi="仿宋" w:eastAsia="仿宋" w:cs="Times New Roman"/>
        </w:rPr>
      </w:pPr>
      <w:r>
        <w:rPr>
          <w:rFonts w:hint="eastAsia" w:ascii="仿宋" w:hAnsi="仿宋" w:eastAsia="仿宋"/>
        </w:rPr>
        <w:t>七、项目支出：是指在基本支出之外，为完成特定的行政工作任务或事业发展目标所发生的支出。</w:t>
      </w:r>
    </w:p>
    <w:p>
      <w:pPr>
        <w:pStyle w:val="2"/>
        <w:kinsoku w:val="0"/>
        <w:overflowPunct w:val="0"/>
        <w:snapToGrid w:val="0"/>
        <w:spacing w:line="360" w:lineRule="auto"/>
        <w:ind w:left="0" w:firstLine="640" w:firstLineChars="200"/>
        <w:jc w:val="both"/>
        <w:rPr>
          <w:rFonts w:ascii="仿宋" w:hAnsi="仿宋" w:eastAsia="仿宋" w:cs="Times New Roman"/>
        </w:rPr>
      </w:pPr>
      <w:r>
        <w:rPr>
          <w:rFonts w:hint="eastAsia" w:ascii="仿宋" w:hAnsi="仿宋" w:eastAsia="仿宋"/>
        </w:rPr>
        <w:t>八、“三公”经费：是指纳入同级财政预决算管理“三公经费”，部门使用国土资源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insoku w:val="0"/>
        <w:overflowPunct w:val="0"/>
        <w:snapToGrid w:val="0"/>
        <w:spacing w:line="360" w:lineRule="auto"/>
        <w:ind w:left="0" w:firstLine="640" w:firstLineChars="200"/>
        <w:jc w:val="both"/>
        <w:rPr>
          <w:rFonts w:ascii="仿宋" w:hAnsi="仿宋" w:eastAsia="仿宋"/>
        </w:rPr>
      </w:pPr>
      <w:r>
        <w:rPr>
          <w:rFonts w:hint="eastAsia" w:ascii="仿宋" w:hAnsi="仿宋" w:eastAsia="仿宋"/>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0" w:firstLineChars="0"/>
        <w:rPr>
          <w:rFonts w:ascii="仿宋" w:hAnsi="仿宋" w:eastAsia="仿宋"/>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tyle>
  <w:style w:type="paragraph" w:styleId="2">
    <w:name w:val="Body Text"/>
    <w:basedOn w:val="1"/>
    <w:link w:val="10"/>
    <w:pPr>
      <w:autoSpaceDE w:val="0"/>
      <w:autoSpaceDN w:val="0"/>
      <w:adjustRightInd w:val="0"/>
      <w:spacing w:line="240" w:lineRule="auto"/>
      <w:ind w:left="761" w:firstLine="0" w:firstLineChars="0"/>
      <w:jc w:val="left"/>
    </w:pPr>
    <w:rPr>
      <w:rFonts w:ascii="Times New Roman" w:hAnsi="Times New Roman" w:eastAsia="仿宋_GB2312" w:cs="Times New Roman"/>
      <w:sz w:val="32"/>
      <w:szCs w:val="32"/>
    </w:rPr>
  </w:style>
  <w:style w:type="character" w:customStyle="1" w:styleId="3">
    <w:name w:val="正文文本 Char"/>
    <w:basedOn w:val="4"/>
    <w:link w:val="2"/>
    <w:semiHidden/>
    <w:rPr>
      <w:rFonts w:ascii="仿宋_GB2312" w:eastAsia="仿宋_GB2312" w:cs="仿宋_GB2312"/>
      <w:sz w:val="32"/>
      <w:szCs w:val="32"/>
    </w:rPr>
  </w:style>
  <w:style w:type="paragraph" w:styleId="5">
    <w:name w:val="footer"/>
    <w:basedOn w:val="1"/>
    <w:link w:val="6"/>
    <w:pPr>
      <w:tabs>
        <w:tab w:val="center" w:pos="4153"/>
        <w:tab w:val="right" w:pos="8306"/>
      </w:tabs>
      <w:snapToGrid w:val="0"/>
      <w:spacing w:line="240" w:lineRule="atLeast"/>
      <w:jc w:val="left"/>
    </w:pPr>
    <w:rPr>
      <w:rFonts w:ascii="Times New Roman" w:hAnsi="Times New Roman" w:eastAsia="仿宋_GB2312"/>
      <w:kern w:val="2"/>
      <w:sz w:val="18"/>
      <w:szCs w:val="18"/>
    </w:rPr>
  </w:style>
  <w:style w:type="character" w:customStyle="1" w:styleId="6">
    <w:name w:val="页脚 Char"/>
    <w:basedOn w:val="4"/>
    <w:link w:val="5"/>
    <w:semiHidden/>
    <w:rPr>
      <w:rFonts w:ascii="Times New Roman" w:hAnsi="Times New Roman" w:eastAsia="仿宋_GB2312"/>
      <w:kern w:val="2"/>
      <w:sz w:val="18"/>
      <w:szCs w:val="18"/>
    </w:rPr>
  </w:style>
  <w:style w:type="paragraph" w:styleId="7">
    <w:name w:val="header"/>
    <w:basedOn w:val="1"/>
    <w:link w:val="8"/>
    <w:pPr>
      <w:pBdr>
        <w:bottom w:val="single" w:color="auto" w:sz="6" w:space="1"/>
      </w:pBdr>
      <w:tabs>
        <w:tab w:val="center" w:pos="4153"/>
        <w:tab w:val="right" w:pos="8306"/>
      </w:tabs>
      <w:snapToGrid w:val="0"/>
      <w:spacing w:line="240" w:lineRule="atLeast"/>
      <w:jc w:val="center"/>
    </w:pPr>
    <w:rPr>
      <w:rFonts w:ascii="Times New Roman" w:hAnsi="Times New Roman" w:eastAsia="仿宋_GB2312"/>
      <w:kern w:val="2"/>
      <w:sz w:val="18"/>
      <w:szCs w:val="18"/>
    </w:rPr>
  </w:style>
  <w:style w:type="character" w:customStyle="1" w:styleId="8">
    <w:name w:val="页眉 Char"/>
    <w:basedOn w:val="4"/>
    <w:link w:val="7"/>
    <w:semiHidden/>
    <w:rPr>
      <w:rFonts w:ascii="Times New Roman" w:hAnsi="Times New Roman" w:eastAsia="仿宋_GB2312"/>
      <w:kern w:val="2"/>
      <w:sz w:val="18"/>
      <w:szCs w:val="18"/>
    </w:rPr>
  </w:style>
  <w:style w:type="paragraph" w:customStyle="1" w:styleId="9">
    <w:name w:val="Normal (Web)"/>
    <w:basedOn w:val="1"/>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0">
    <w:name w:val="正文文本 Char1"/>
    <w:basedOn w:val="4"/>
    <w:link w:val="2"/>
    <w:semiHidden/>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1138</Words>
  <Characters>6490</Characters>
  <Lines>54</Lines>
  <Paragraphs>15</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2020-10-27T17:01:00Z</dcterms:created>
  <dc:creator>Administrator</dc:creator>
  <dcterms:modified xsi:type="dcterms:W3CDTF">2020-10-28T08:55:44Z</dcterms:modified>
  <dc:title>三门峡市国土资源局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